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81" w:rsidRDefault="000F7A81" w:rsidP="000F7A81">
      <w:pPr>
        <w:jc w:val="both"/>
        <w:rPr>
          <w:rFonts w:ascii="Arial" w:hAnsi="Arial" w:cs="Arial"/>
          <w:b/>
        </w:rPr>
      </w:pPr>
      <w:bookmarkStart w:id="0" w:name="_GoBack"/>
      <w:bookmarkEnd w:id="0"/>
    </w:p>
    <w:p w:rsidR="008D50D8" w:rsidRDefault="00A215C9" w:rsidP="000F7A81">
      <w:pPr>
        <w:jc w:val="both"/>
        <w:rPr>
          <w:rFonts w:ascii="Arial" w:hAnsi="Arial" w:cs="Arial"/>
          <w:b/>
        </w:rPr>
      </w:pPr>
      <w:r w:rsidRPr="000F7A81">
        <w:rPr>
          <w:rFonts w:ascii="Arial" w:hAnsi="Arial" w:cs="Arial"/>
          <w:b/>
        </w:rPr>
        <w:t xml:space="preserve">BORSA İSTANBUL A.Ş. PAY PİYASASI PAZARLARI </w:t>
      </w:r>
      <w:r w:rsidR="00C83893" w:rsidRPr="000F7A81">
        <w:rPr>
          <w:rFonts w:ascii="Arial" w:hAnsi="Arial" w:cs="Arial"/>
          <w:b/>
        </w:rPr>
        <w:t>DEĞERLENDİRME KRİTERLERİ VE</w:t>
      </w:r>
      <w:r w:rsidRPr="000F7A81">
        <w:rPr>
          <w:rFonts w:ascii="Arial" w:hAnsi="Arial" w:cs="Arial"/>
          <w:b/>
        </w:rPr>
        <w:t xml:space="preserve"> </w:t>
      </w:r>
      <w:r w:rsidR="008D50D8" w:rsidRPr="000F7A81">
        <w:rPr>
          <w:rFonts w:ascii="Arial" w:hAnsi="Arial" w:cs="Arial"/>
          <w:b/>
        </w:rPr>
        <w:t xml:space="preserve">İŞLEM </w:t>
      </w:r>
      <w:r w:rsidR="00C83893" w:rsidRPr="000F7A81">
        <w:rPr>
          <w:rFonts w:ascii="Arial" w:hAnsi="Arial" w:cs="Arial"/>
          <w:b/>
        </w:rPr>
        <w:t>ESASLARI</w:t>
      </w:r>
      <w:r w:rsidR="008D50D8" w:rsidRPr="000F7A81">
        <w:rPr>
          <w:rFonts w:ascii="Arial" w:hAnsi="Arial" w:cs="Arial"/>
          <w:b/>
        </w:rPr>
        <w:t xml:space="preserve"> BİLDİRİM FORMU</w:t>
      </w:r>
    </w:p>
    <w:p w:rsidR="000F7A81" w:rsidRPr="000F7A81" w:rsidRDefault="000F7A81" w:rsidP="000F7A81">
      <w:pPr>
        <w:jc w:val="both"/>
        <w:rPr>
          <w:rFonts w:ascii="Arial" w:hAnsi="Arial" w:cs="Arial"/>
          <w:b/>
        </w:rPr>
      </w:pPr>
    </w:p>
    <w:p w:rsidR="00BC037C" w:rsidRPr="000F7A81" w:rsidRDefault="00904638" w:rsidP="000F7A81">
      <w:pPr>
        <w:jc w:val="both"/>
        <w:rPr>
          <w:rFonts w:ascii="Arial" w:hAnsi="Arial" w:cs="Arial"/>
        </w:rPr>
      </w:pPr>
      <w:r w:rsidRPr="000F7A81">
        <w:rPr>
          <w:rFonts w:ascii="Arial" w:hAnsi="Arial" w:cs="Arial"/>
        </w:rPr>
        <w:t xml:space="preserve">Borsa İstanbul A.Ş. Yönetim Kurulunun </w:t>
      </w:r>
      <w:r w:rsidR="00BC037C" w:rsidRPr="000F7A81">
        <w:rPr>
          <w:rFonts w:ascii="Arial" w:hAnsi="Arial" w:cs="Arial"/>
        </w:rPr>
        <w:t>10/09/2020</w:t>
      </w:r>
      <w:r w:rsidRPr="000F7A81">
        <w:rPr>
          <w:rFonts w:ascii="Arial" w:hAnsi="Arial" w:cs="Arial"/>
        </w:rPr>
        <w:t xml:space="preserve"> tarihli ve Sermaye Piyasası Kurulunun (SPK) </w:t>
      </w:r>
      <w:r w:rsidR="00BC037C" w:rsidRPr="000F7A81">
        <w:rPr>
          <w:rFonts w:ascii="Arial" w:hAnsi="Arial" w:cs="Arial"/>
        </w:rPr>
        <w:t>14/09/2020</w:t>
      </w:r>
      <w:r w:rsidRPr="000F7A81">
        <w:rPr>
          <w:rFonts w:ascii="Arial" w:hAnsi="Arial" w:cs="Arial"/>
        </w:rPr>
        <w:t xml:space="preserve"> tarihli kararları </w:t>
      </w:r>
      <w:r w:rsidR="00BC037C" w:rsidRPr="000F7A81">
        <w:rPr>
          <w:rFonts w:ascii="Arial" w:hAnsi="Arial" w:cs="Arial"/>
        </w:rPr>
        <w:t xml:space="preserve">ile </w:t>
      </w:r>
      <w:r w:rsidRPr="000F7A81">
        <w:rPr>
          <w:rFonts w:ascii="Arial" w:hAnsi="Arial" w:cs="Arial"/>
        </w:rPr>
        <w:t xml:space="preserve">Pay Piyasası’nda işlem gören </w:t>
      </w:r>
      <w:r w:rsidR="00BC037C" w:rsidRPr="000F7A81">
        <w:rPr>
          <w:rFonts w:ascii="Arial" w:hAnsi="Arial" w:cs="Arial"/>
        </w:rPr>
        <w:t>paylarda Pazar yapılanması, pazarlardaki işlem görme esasları ve pazarlar arası geçiş kriterleri şu şekildedir:</w:t>
      </w:r>
    </w:p>
    <w:p w:rsidR="000A3779" w:rsidRPr="000F7A81" w:rsidRDefault="000A3779" w:rsidP="000F7A81">
      <w:pPr>
        <w:jc w:val="both"/>
        <w:rPr>
          <w:rFonts w:ascii="Arial" w:hAnsi="Arial" w:cs="Arial"/>
        </w:rPr>
      </w:pPr>
      <w:r w:rsidRPr="000F7A81">
        <w:rPr>
          <w:rFonts w:ascii="Arial" w:hAnsi="Arial" w:cs="Arial"/>
        </w:rPr>
        <w:t>Bu kapsamda Pay Piyasası yeni pazar yapısı:</w:t>
      </w:r>
    </w:p>
    <w:p w:rsidR="00BC037C" w:rsidRPr="000F7A81" w:rsidRDefault="000A3779" w:rsidP="000F7A81">
      <w:pPr>
        <w:numPr>
          <w:ilvl w:val="0"/>
          <w:numId w:val="3"/>
        </w:numPr>
        <w:jc w:val="both"/>
        <w:rPr>
          <w:rFonts w:ascii="Arial" w:hAnsi="Arial" w:cs="Arial"/>
        </w:rPr>
      </w:pPr>
      <w:r w:rsidRPr="000F7A81">
        <w:rPr>
          <w:rFonts w:ascii="Arial" w:hAnsi="Arial" w:cs="Arial"/>
        </w:rPr>
        <w:t>Yıldız Pazar</w:t>
      </w:r>
      <w:r w:rsidRPr="000F7A81">
        <w:rPr>
          <w:rFonts w:ascii="Arial" w:hAnsi="Arial" w:cs="Arial"/>
          <w:b/>
          <w:bCs/>
        </w:rPr>
        <w:t> </w:t>
      </w:r>
    </w:p>
    <w:p w:rsidR="00BC037C" w:rsidRPr="000F7A81" w:rsidRDefault="000A3779" w:rsidP="000F7A81">
      <w:pPr>
        <w:numPr>
          <w:ilvl w:val="0"/>
          <w:numId w:val="3"/>
        </w:numPr>
        <w:jc w:val="both"/>
        <w:rPr>
          <w:rFonts w:ascii="Arial" w:hAnsi="Arial" w:cs="Arial"/>
        </w:rPr>
      </w:pPr>
      <w:r w:rsidRPr="000F7A81">
        <w:rPr>
          <w:rFonts w:ascii="Arial" w:hAnsi="Arial" w:cs="Arial"/>
        </w:rPr>
        <w:t>Ana Pazar</w:t>
      </w:r>
      <w:r w:rsidR="00BC037C" w:rsidRPr="000F7A81">
        <w:rPr>
          <w:rFonts w:ascii="Arial" w:hAnsi="Arial" w:cs="Arial"/>
          <w:b/>
          <w:bCs/>
        </w:rPr>
        <w:t> </w:t>
      </w:r>
    </w:p>
    <w:p w:rsidR="000A3779" w:rsidRPr="000F7A81" w:rsidRDefault="00BC037C" w:rsidP="000F7A81">
      <w:pPr>
        <w:numPr>
          <w:ilvl w:val="0"/>
          <w:numId w:val="3"/>
        </w:numPr>
        <w:jc w:val="both"/>
        <w:rPr>
          <w:rFonts w:ascii="Arial" w:hAnsi="Arial" w:cs="Arial"/>
        </w:rPr>
      </w:pPr>
      <w:r w:rsidRPr="000F7A81">
        <w:rPr>
          <w:rFonts w:ascii="Arial" w:hAnsi="Arial" w:cs="Arial"/>
        </w:rPr>
        <w:t>Alt Pazar</w:t>
      </w:r>
    </w:p>
    <w:p w:rsidR="000A3779" w:rsidRPr="000F7A81" w:rsidRDefault="000A3779" w:rsidP="000F7A81">
      <w:pPr>
        <w:numPr>
          <w:ilvl w:val="0"/>
          <w:numId w:val="3"/>
        </w:numPr>
        <w:jc w:val="both"/>
        <w:rPr>
          <w:rFonts w:ascii="Arial" w:hAnsi="Arial" w:cs="Arial"/>
        </w:rPr>
      </w:pPr>
      <w:r w:rsidRPr="000F7A81">
        <w:rPr>
          <w:rFonts w:ascii="Arial" w:hAnsi="Arial" w:cs="Arial"/>
        </w:rPr>
        <w:t>Yakın İzleme Pazarı (YİP)</w:t>
      </w:r>
    </w:p>
    <w:p w:rsidR="000A3779" w:rsidRPr="000F7A81" w:rsidRDefault="000A3779" w:rsidP="000F7A81">
      <w:pPr>
        <w:numPr>
          <w:ilvl w:val="0"/>
          <w:numId w:val="3"/>
        </w:numPr>
        <w:jc w:val="both"/>
        <w:rPr>
          <w:rFonts w:ascii="Arial" w:hAnsi="Arial" w:cs="Arial"/>
        </w:rPr>
      </w:pPr>
      <w:r w:rsidRPr="000F7A81">
        <w:rPr>
          <w:rFonts w:ascii="Arial" w:hAnsi="Arial" w:cs="Arial"/>
        </w:rPr>
        <w:t>Piyasa Öncesi İşlem Platformu (PÖİP)</w:t>
      </w:r>
    </w:p>
    <w:p w:rsidR="00662E91" w:rsidRPr="000F7A81" w:rsidRDefault="00662E91" w:rsidP="000F7A81">
      <w:pPr>
        <w:numPr>
          <w:ilvl w:val="0"/>
          <w:numId w:val="3"/>
        </w:numPr>
        <w:jc w:val="both"/>
        <w:rPr>
          <w:rFonts w:ascii="Arial" w:hAnsi="Arial" w:cs="Arial"/>
        </w:rPr>
      </w:pPr>
      <w:r w:rsidRPr="000F7A81">
        <w:rPr>
          <w:rFonts w:ascii="Arial" w:hAnsi="Arial" w:cs="Arial"/>
          <w:bCs/>
        </w:rPr>
        <w:t>Yapılandırılmış Ürünler ve Fon Pazarı (YÜFP)</w:t>
      </w:r>
    </w:p>
    <w:p w:rsidR="00662E91" w:rsidRPr="000F7A81" w:rsidRDefault="00662E91" w:rsidP="000F7A81">
      <w:pPr>
        <w:numPr>
          <w:ilvl w:val="0"/>
          <w:numId w:val="3"/>
        </w:numPr>
        <w:jc w:val="both"/>
        <w:rPr>
          <w:rFonts w:ascii="Arial" w:hAnsi="Arial" w:cs="Arial"/>
        </w:rPr>
      </w:pPr>
      <w:r w:rsidRPr="000F7A81">
        <w:rPr>
          <w:rFonts w:ascii="Arial" w:hAnsi="Arial" w:cs="Arial"/>
        </w:rPr>
        <w:t>Nitelikli Yatırımcı İşlem Pazarı (NİYİP)</w:t>
      </w:r>
    </w:p>
    <w:p w:rsidR="000A3779" w:rsidRPr="000F7A81" w:rsidRDefault="000A3779" w:rsidP="000F7A81">
      <w:pPr>
        <w:jc w:val="both"/>
        <w:rPr>
          <w:rFonts w:ascii="Arial" w:hAnsi="Arial" w:cs="Arial"/>
        </w:rPr>
      </w:pPr>
      <w:r w:rsidRPr="000F7A81">
        <w:rPr>
          <w:rFonts w:ascii="Arial" w:hAnsi="Arial" w:cs="Arial"/>
        </w:rPr>
        <w:t>şeklinde olacaktır. </w:t>
      </w:r>
    </w:p>
    <w:p w:rsidR="000A3779" w:rsidRDefault="000A3779" w:rsidP="000F7A81">
      <w:pPr>
        <w:jc w:val="both"/>
        <w:rPr>
          <w:rFonts w:ascii="Arial" w:hAnsi="Arial" w:cs="Arial"/>
        </w:rPr>
      </w:pPr>
      <w:r w:rsidRPr="000F7A81">
        <w:rPr>
          <w:rFonts w:ascii="Arial" w:hAnsi="Arial" w:cs="Arial"/>
        </w:rPr>
        <w:t>Pay Piyasası Yeni Pazar Yapısında Uygulanacak Değerlendirme Kriterleri ve İşlem Esasları aşağıdaki şekilde olacaktır:</w:t>
      </w:r>
    </w:p>
    <w:p w:rsidR="000F7A81" w:rsidRPr="000F7A81" w:rsidRDefault="000F7A81" w:rsidP="000F7A81">
      <w:pPr>
        <w:jc w:val="both"/>
        <w:rPr>
          <w:rFonts w:ascii="Arial" w:hAnsi="Arial" w:cs="Arial"/>
        </w:rPr>
      </w:pPr>
    </w:p>
    <w:p w:rsidR="000A3779" w:rsidRPr="000F7A81" w:rsidRDefault="000A3779" w:rsidP="000F7A81">
      <w:pPr>
        <w:jc w:val="both"/>
        <w:rPr>
          <w:rFonts w:ascii="Arial" w:hAnsi="Arial" w:cs="Arial"/>
          <w:b/>
          <w:u w:val="single"/>
        </w:rPr>
      </w:pPr>
      <w:r w:rsidRPr="000F7A81">
        <w:rPr>
          <w:rFonts w:ascii="Arial" w:hAnsi="Arial" w:cs="Arial"/>
          <w:b/>
          <w:u w:val="single"/>
        </w:rPr>
        <w:t>İşlem Esasları</w:t>
      </w:r>
    </w:p>
    <w:tbl>
      <w:tblPr>
        <w:tblStyle w:val="TabloKlavuzu"/>
        <w:tblW w:w="7368" w:type="dxa"/>
        <w:tblInd w:w="108" w:type="dxa"/>
        <w:tblLook w:val="04A0" w:firstRow="1" w:lastRow="0" w:firstColumn="1" w:lastColumn="0" w:noHBand="0" w:noVBand="1"/>
      </w:tblPr>
      <w:tblGrid>
        <w:gridCol w:w="1533"/>
        <w:gridCol w:w="1132"/>
        <w:gridCol w:w="1132"/>
        <w:gridCol w:w="1132"/>
        <w:gridCol w:w="1132"/>
        <w:gridCol w:w="1307"/>
      </w:tblGrid>
      <w:tr w:rsidR="00BC037C" w:rsidRPr="000F7A81" w:rsidTr="000F7A81">
        <w:trPr>
          <w:trHeight w:val="546"/>
        </w:trPr>
        <w:tc>
          <w:tcPr>
            <w:tcW w:w="1533" w:type="dxa"/>
          </w:tcPr>
          <w:p w:rsidR="00BC037C" w:rsidRPr="000F7A81" w:rsidRDefault="00BC037C" w:rsidP="000F7A81">
            <w:pPr>
              <w:jc w:val="both"/>
              <w:rPr>
                <w:rFonts w:ascii="Arial" w:hAnsi="Arial" w:cs="Arial"/>
                <w:b/>
                <w:sz w:val="16"/>
                <w:szCs w:val="16"/>
              </w:rPr>
            </w:pPr>
            <w:r w:rsidRPr="000F7A81">
              <w:rPr>
                <w:rFonts w:ascii="Arial" w:hAnsi="Arial" w:cs="Arial"/>
                <w:b/>
                <w:sz w:val="16"/>
                <w:szCs w:val="16"/>
              </w:rPr>
              <w:t>İşlem Esasları</w:t>
            </w:r>
          </w:p>
        </w:tc>
        <w:tc>
          <w:tcPr>
            <w:tcW w:w="1132" w:type="dxa"/>
          </w:tcPr>
          <w:p w:rsidR="00BC037C" w:rsidRPr="000F7A81" w:rsidRDefault="00BC037C" w:rsidP="000F7A81">
            <w:pPr>
              <w:jc w:val="both"/>
              <w:rPr>
                <w:rFonts w:ascii="Arial" w:hAnsi="Arial" w:cs="Arial"/>
                <w:b/>
                <w:sz w:val="16"/>
                <w:szCs w:val="16"/>
              </w:rPr>
            </w:pPr>
            <w:r w:rsidRPr="000F7A81">
              <w:rPr>
                <w:rFonts w:ascii="Arial" w:hAnsi="Arial" w:cs="Arial"/>
                <w:b/>
                <w:sz w:val="16"/>
                <w:szCs w:val="16"/>
              </w:rPr>
              <w:t>YILDIZ PAZAR</w:t>
            </w:r>
          </w:p>
        </w:tc>
        <w:tc>
          <w:tcPr>
            <w:tcW w:w="1132" w:type="dxa"/>
          </w:tcPr>
          <w:p w:rsidR="00BC037C" w:rsidRPr="000F7A81" w:rsidRDefault="00BC037C" w:rsidP="000F7A81">
            <w:pPr>
              <w:jc w:val="both"/>
              <w:rPr>
                <w:rFonts w:ascii="Arial" w:hAnsi="Arial" w:cs="Arial"/>
                <w:b/>
                <w:sz w:val="16"/>
                <w:szCs w:val="16"/>
              </w:rPr>
            </w:pPr>
            <w:r w:rsidRPr="000F7A81">
              <w:rPr>
                <w:rFonts w:ascii="Arial" w:hAnsi="Arial" w:cs="Arial"/>
                <w:b/>
                <w:sz w:val="16"/>
                <w:szCs w:val="16"/>
              </w:rPr>
              <w:t>ANA PAZAR</w:t>
            </w:r>
          </w:p>
        </w:tc>
        <w:tc>
          <w:tcPr>
            <w:tcW w:w="1132" w:type="dxa"/>
          </w:tcPr>
          <w:p w:rsidR="00BC037C" w:rsidRPr="000F7A81" w:rsidRDefault="00BC037C" w:rsidP="000F7A81">
            <w:pPr>
              <w:jc w:val="both"/>
              <w:rPr>
                <w:rFonts w:ascii="Arial" w:hAnsi="Arial" w:cs="Arial"/>
                <w:b/>
                <w:sz w:val="16"/>
                <w:szCs w:val="16"/>
              </w:rPr>
            </w:pPr>
          </w:p>
          <w:p w:rsidR="00BC037C" w:rsidRPr="000F7A81" w:rsidRDefault="00BC037C" w:rsidP="000F7A81">
            <w:pPr>
              <w:jc w:val="both"/>
              <w:rPr>
                <w:rFonts w:ascii="Arial" w:hAnsi="Arial" w:cs="Arial"/>
                <w:b/>
                <w:sz w:val="16"/>
                <w:szCs w:val="16"/>
              </w:rPr>
            </w:pPr>
            <w:r w:rsidRPr="000F7A81">
              <w:rPr>
                <w:rFonts w:ascii="Arial" w:hAnsi="Arial" w:cs="Arial"/>
                <w:b/>
                <w:sz w:val="16"/>
                <w:szCs w:val="16"/>
              </w:rPr>
              <w:t>ALT PAZAR</w:t>
            </w:r>
          </w:p>
        </w:tc>
        <w:tc>
          <w:tcPr>
            <w:tcW w:w="1132" w:type="dxa"/>
          </w:tcPr>
          <w:p w:rsidR="00BC037C" w:rsidRPr="000F7A81" w:rsidRDefault="00BC037C" w:rsidP="000F7A81">
            <w:pPr>
              <w:jc w:val="both"/>
              <w:rPr>
                <w:rFonts w:ascii="Arial" w:hAnsi="Arial" w:cs="Arial"/>
                <w:b/>
                <w:sz w:val="16"/>
                <w:szCs w:val="16"/>
              </w:rPr>
            </w:pPr>
          </w:p>
          <w:p w:rsidR="00BC037C" w:rsidRPr="000F7A81" w:rsidRDefault="00BC037C" w:rsidP="000F7A81">
            <w:pPr>
              <w:jc w:val="both"/>
              <w:rPr>
                <w:rFonts w:ascii="Arial" w:hAnsi="Arial" w:cs="Arial"/>
                <w:b/>
                <w:sz w:val="16"/>
                <w:szCs w:val="16"/>
              </w:rPr>
            </w:pPr>
            <w:r w:rsidRPr="000F7A81">
              <w:rPr>
                <w:rFonts w:ascii="Arial" w:hAnsi="Arial" w:cs="Arial"/>
                <w:b/>
                <w:sz w:val="16"/>
                <w:szCs w:val="16"/>
              </w:rPr>
              <w:t>YİP</w:t>
            </w:r>
          </w:p>
        </w:tc>
        <w:tc>
          <w:tcPr>
            <w:tcW w:w="1307" w:type="dxa"/>
          </w:tcPr>
          <w:p w:rsidR="00BC037C" w:rsidRPr="000F7A81" w:rsidRDefault="00BC037C" w:rsidP="000F7A81">
            <w:pPr>
              <w:jc w:val="both"/>
              <w:rPr>
                <w:rFonts w:ascii="Arial" w:hAnsi="Arial" w:cs="Arial"/>
                <w:b/>
                <w:sz w:val="16"/>
                <w:szCs w:val="16"/>
              </w:rPr>
            </w:pPr>
          </w:p>
          <w:p w:rsidR="00BC037C" w:rsidRPr="000F7A81" w:rsidRDefault="00BC037C" w:rsidP="000F7A81">
            <w:pPr>
              <w:jc w:val="both"/>
              <w:rPr>
                <w:rFonts w:ascii="Arial" w:hAnsi="Arial" w:cs="Arial"/>
                <w:b/>
                <w:sz w:val="16"/>
                <w:szCs w:val="16"/>
              </w:rPr>
            </w:pPr>
            <w:r w:rsidRPr="000F7A81">
              <w:rPr>
                <w:rFonts w:ascii="Arial" w:hAnsi="Arial" w:cs="Arial"/>
                <w:b/>
                <w:sz w:val="16"/>
                <w:szCs w:val="16"/>
              </w:rPr>
              <w:t>PÖİP</w:t>
            </w:r>
          </w:p>
        </w:tc>
      </w:tr>
      <w:tr w:rsidR="00BC037C" w:rsidRPr="000F7A81" w:rsidTr="000F7A81">
        <w:trPr>
          <w:trHeight w:val="568"/>
        </w:trPr>
        <w:tc>
          <w:tcPr>
            <w:tcW w:w="1533" w:type="dxa"/>
          </w:tcPr>
          <w:p w:rsidR="00BC037C" w:rsidRPr="000F7A81" w:rsidRDefault="00BC037C" w:rsidP="000F7A81">
            <w:pPr>
              <w:jc w:val="both"/>
              <w:rPr>
                <w:rFonts w:ascii="Arial" w:hAnsi="Arial" w:cs="Arial"/>
                <w:b/>
                <w:sz w:val="16"/>
                <w:szCs w:val="16"/>
              </w:rPr>
            </w:pPr>
            <w:r w:rsidRPr="000F7A81">
              <w:rPr>
                <w:rFonts w:ascii="Arial" w:hAnsi="Arial" w:cs="Arial"/>
                <w:b/>
                <w:sz w:val="16"/>
                <w:szCs w:val="16"/>
              </w:rPr>
              <w:t>İşlem Yöntemi</w:t>
            </w:r>
          </w:p>
        </w:tc>
        <w:tc>
          <w:tcPr>
            <w:tcW w:w="1132" w:type="dxa"/>
          </w:tcPr>
          <w:p w:rsidR="00BC037C" w:rsidRPr="000F7A81" w:rsidRDefault="00FC1C9F" w:rsidP="000F7A81">
            <w:pPr>
              <w:jc w:val="center"/>
              <w:rPr>
                <w:rFonts w:ascii="Arial" w:hAnsi="Arial" w:cs="Arial"/>
                <w:sz w:val="16"/>
                <w:szCs w:val="16"/>
              </w:rPr>
            </w:pPr>
            <w:r w:rsidRPr="000F7A81">
              <w:rPr>
                <w:rFonts w:ascii="Arial" w:hAnsi="Arial" w:cs="Arial"/>
                <w:sz w:val="16"/>
                <w:szCs w:val="16"/>
              </w:rPr>
              <w:t>Sürekli İşlem</w:t>
            </w:r>
          </w:p>
        </w:tc>
        <w:tc>
          <w:tcPr>
            <w:tcW w:w="1132" w:type="dxa"/>
          </w:tcPr>
          <w:p w:rsidR="00BC037C" w:rsidRPr="000F7A81" w:rsidRDefault="00FC1C9F" w:rsidP="000F7A81">
            <w:pPr>
              <w:jc w:val="center"/>
              <w:rPr>
                <w:rFonts w:ascii="Arial" w:hAnsi="Arial" w:cs="Arial"/>
                <w:sz w:val="16"/>
                <w:szCs w:val="16"/>
              </w:rPr>
            </w:pPr>
            <w:r w:rsidRPr="000F7A81">
              <w:rPr>
                <w:rFonts w:ascii="Arial" w:hAnsi="Arial" w:cs="Arial"/>
                <w:sz w:val="16"/>
                <w:szCs w:val="16"/>
              </w:rPr>
              <w:t>Sürekli İşlem</w:t>
            </w:r>
          </w:p>
        </w:tc>
        <w:tc>
          <w:tcPr>
            <w:tcW w:w="1132" w:type="dxa"/>
          </w:tcPr>
          <w:p w:rsidR="00BC037C" w:rsidRPr="000F7A81" w:rsidRDefault="00FC1C9F" w:rsidP="000F7A81">
            <w:pPr>
              <w:jc w:val="center"/>
              <w:rPr>
                <w:rFonts w:ascii="Arial" w:hAnsi="Arial" w:cs="Arial"/>
                <w:sz w:val="16"/>
                <w:szCs w:val="16"/>
              </w:rPr>
            </w:pPr>
            <w:r w:rsidRPr="000F7A81">
              <w:rPr>
                <w:rFonts w:ascii="Arial" w:hAnsi="Arial" w:cs="Arial"/>
                <w:sz w:val="16"/>
                <w:szCs w:val="16"/>
              </w:rPr>
              <w:t>Sürekli İşlem</w:t>
            </w:r>
          </w:p>
        </w:tc>
        <w:tc>
          <w:tcPr>
            <w:tcW w:w="1132" w:type="dxa"/>
          </w:tcPr>
          <w:p w:rsidR="00BC037C" w:rsidRPr="000F7A81" w:rsidRDefault="002C5798" w:rsidP="000F7A81">
            <w:pPr>
              <w:jc w:val="center"/>
              <w:rPr>
                <w:rFonts w:ascii="Arial" w:hAnsi="Arial" w:cs="Arial"/>
                <w:sz w:val="16"/>
                <w:szCs w:val="16"/>
              </w:rPr>
            </w:pPr>
            <w:r w:rsidRPr="000F7A81">
              <w:rPr>
                <w:rFonts w:ascii="Arial" w:hAnsi="Arial" w:cs="Arial"/>
                <w:sz w:val="16"/>
                <w:szCs w:val="16"/>
              </w:rPr>
              <w:t>5 Kez Tek Fiyat</w:t>
            </w:r>
          </w:p>
        </w:tc>
        <w:tc>
          <w:tcPr>
            <w:tcW w:w="1307" w:type="dxa"/>
          </w:tcPr>
          <w:p w:rsidR="00BC037C" w:rsidRPr="000F7A81" w:rsidRDefault="002C5798" w:rsidP="000F7A81">
            <w:pPr>
              <w:jc w:val="center"/>
              <w:rPr>
                <w:rFonts w:ascii="Arial" w:hAnsi="Arial" w:cs="Arial"/>
                <w:sz w:val="16"/>
                <w:szCs w:val="16"/>
              </w:rPr>
            </w:pPr>
            <w:r w:rsidRPr="000F7A81">
              <w:rPr>
                <w:rFonts w:ascii="Arial" w:hAnsi="Arial" w:cs="Arial"/>
                <w:sz w:val="16"/>
                <w:szCs w:val="16"/>
              </w:rPr>
              <w:t>5 Kez Tek Fiyat</w:t>
            </w:r>
          </w:p>
        </w:tc>
      </w:tr>
      <w:tr w:rsidR="00BC037C" w:rsidRPr="000F7A81" w:rsidTr="000F7A81">
        <w:trPr>
          <w:trHeight w:val="548"/>
        </w:trPr>
        <w:tc>
          <w:tcPr>
            <w:tcW w:w="1533" w:type="dxa"/>
          </w:tcPr>
          <w:p w:rsidR="00BC037C" w:rsidRPr="000F7A81" w:rsidRDefault="00BC037C" w:rsidP="000F7A81">
            <w:pPr>
              <w:jc w:val="both"/>
              <w:rPr>
                <w:rFonts w:ascii="Arial" w:hAnsi="Arial" w:cs="Arial"/>
                <w:b/>
                <w:sz w:val="16"/>
                <w:szCs w:val="16"/>
              </w:rPr>
            </w:pPr>
            <w:r w:rsidRPr="000F7A81">
              <w:rPr>
                <w:rFonts w:ascii="Arial" w:hAnsi="Arial" w:cs="Arial"/>
                <w:b/>
                <w:sz w:val="16"/>
                <w:szCs w:val="16"/>
              </w:rPr>
              <w:t>Açığa Satış ve Kredili İŞlem</w:t>
            </w:r>
          </w:p>
        </w:tc>
        <w:tc>
          <w:tcPr>
            <w:tcW w:w="1132" w:type="dxa"/>
          </w:tcPr>
          <w:p w:rsidR="00BC037C" w:rsidRPr="000F7A81" w:rsidRDefault="00FC1C9F" w:rsidP="000F7A81">
            <w:pPr>
              <w:jc w:val="center"/>
              <w:rPr>
                <w:rFonts w:ascii="Arial" w:hAnsi="Arial" w:cs="Arial"/>
                <w:sz w:val="16"/>
                <w:szCs w:val="16"/>
              </w:rPr>
            </w:pPr>
            <w:r w:rsidRPr="000F7A81">
              <w:rPr>
                <w:rFonts w:ascii="Arial" w:hAnsi="Arial" w:cs="Arial"/>
                <w:sz w:val="16"/>
                <w:szCs w:val="16"/>
              </w:rPr>
              <w:t>VAR</w:t>
            </w:r>
          </w:p>
        </w:tc>
        <w:tc>
          <w:tcPr>
            <w:tcW w:w="1132" w:type="dxa"/>
          </w:tcPr>
          <w:p w:rsidR="00BC037C" w:rsidRPr="000F7A81" w:rsidRDefault="00FC1C9F" w:rsidP="000F7A81">
            <w:pPr>
              <w:jc w:val="center"/>
              <w:rPr>
                <w:rFonts w:ascii="Arial" w:hAnsi="Arial" w:cs="Arial"/>
                <w:sz w:val="16"/>
                <w:szCs w:val="16"/>
              </w:rPr>
            </w:pPr>
            <w:r w:rsidRPr="000F7A81">
              <w:rPr>
                <w:rFonts w:ascii="Arial" w:hAnsi="Arial" w:cs="Arial"/>
                <w:sz w:val="16"/>
                <w:szCs w:val="16"/>
              </w:rPr>
              <w:t>VAR</w:t>
            </w:r>
          </w:p>
        </w:tc>
        <w:tc>
          <w:tcPr>
            <w:tcW w:w="1132" w:type="dxa"/>
            <w:vAlign w:val="center"/>
          </w:tcPr>
          <w:p w:rsidR="00BC037C" w:rsidRPr="000F7A81" w:rsidRDefault="00BC037C" w:rsidP="000F7A81">
            <w:pPr>
              <w:jc w:val="center"/>
              <w:rPr>
                <w:rFonts w:ascii="Arial" w:hAnsi="Arial" w:cs="Arial"/>
                <w:sz w:val="16"/>
                <w:szCs w:val="16"/>
              </w:rPr>
            </w:pPr>
            <w:r w:rsidRPr="000F7A81">
              <w:rPr>
                <w:rFonts w:ascii="Arial" w:hAnsi="Arial" w:cs="Arial"/>
                <w:sz w:val="16"/>
                <w:szCs w:val="16"/>
              </w:rPr>
              <w:t>YOK</w:t>
            </w:r>
          </w:p>
        </w:tc>
        <w:tc>
          <w:tcPr>
            <w:tcW w:w="1132" w:type="dxa"/>
            <w:vAlign w:val="center"/>
          </w:tcPr>
          <w:p w:rsidR="00BC037C" w:rsidRPr="000F7A81" w:rsidRDefault="00BC037C" w:rsidP="000F7A81">
            <w:pPr>
              <w:jc w:val="center"/>
              <w:rPr>
                <w:rFonts w:ascii="Arial" w:hAnsi="Arial" w:cs="Arial"/>
                <w:sz w:val="16"/>
                <w:szCs w:val="16"/>
              </w:rPr>
            </w:pPr>
            <w:r w:rsidRPr="000F7A81">
              <w:rPr>
                <w:rFonts w:ascii="Arial" w:hAnsi="Arial" w:cs="Arial"/>
                <w:sz w:val="16"/>
                <w:szCs w:val="16"/>
              </w:rPr>
              <w:t>YOK</w:t>
            </w:r>
          </w:p>
        </w:tc>
        <w:tc>
          <w:tcPr>
            <w:tcW w:w="1307" w:type="dxa"/>
            <w:vAlign w:val="center"/>
          </w:tcPr>
          <w:p w:rsidR="00BC037C" w:rsidRPr="000F7A81" w:rsidRDefault="00BC037C" w:rsidP="000F7A81">
            <w:pPr>
              <w:jc w:val="center"/>
              <w:rPr>
                <w:rFonts w:ascii="Arial" w:hAnsi="Arial" w:cs="Arial"/>
                <w:sz w:val="16"/>
                <w:szCs w:val="16"/>
              </w:rPr>
            </w:pPr>
            <w:r w:rsidRPr="000F7A81">
              <w:rPr>
                <w:rFonts w:ascii="Arial" w:hAnsi="Arial" w:cs="Arial"/>
                <w:sz w:val="16"/>
                <w:szCs w:val="16"/>
              </w:rPr>
              <w:t>YOK</w:t>
            </w:r>
          </w:p>
        </w:tc>
      </w:tr>
      <w:tr w:rsidR="00BC037C" w:rsidRPr="000F7A81" w:rsidTr="000F7A81">
        <w:trPr>
          <w:trHeight w:val="366"/>
        </w:trPr>
        <w:tc>
          <w:tcPr>
            <w:tcW w:w="1533" w:type="dxa"/>
          </w:tcPr>
          <w:p w:rsidR="00BC037C" w:rsidRPr="000F7A81" w:rsidRDefault="00BC037C" w:rsidP="000F7A81">
            <w:pPr>
              <w:jc w:val="both"/>
              <w:rPr>
                <w:rFonts w:ascii="Arial" w:hAnsi="Arial" w:cs="Arial"/>
                <w:b/>
                <w:sz w:val="16"/>
                <w:szCs w:val="16"/>
              </w:rPr>
            </w:pPr>
            <w:r w:rsidRPr="000F7A81">
              <w:rPr>
                <w:rFonts w:ascii="Arial" w:hAnsi="Arial" w:cs="Arial"/>
                <w:b/>
                <w:sz w:val="16"/>
                <w:szCs w:val="16"/>
              </w:rPr>
              <w:t>Brüt Takas</w:t>
            </w:r>
          </w:p>
        </w:tc>
        <w:tc>
          <w:tcPr>
            <w:tcW w:w="1132" w:type="dxa"/>
          </w:tcPr>
          <w:p w:rsidR="00BC037C" w:rsidRPr="000F7A81" w:rsidRDefault="00FC1C9F" w:rsidP="000F7A81">
            <w:pPr>
              <w:jc w:val="center"/>
              <w:rPr>
                <w:rFonts w:ascii="Arial" w:hAnsi="Arial" w:cs="Arial"/>
                <w:sz w:val="16"/>
                <w:szCs w:val="16"/>
              </w:rPr>
            </w:pPr>
            <w:r w:rsidRPr="000F7A81">
              <w:rPr>
                <w:rFonts w:ascii="Arial" w:hAnsi="Arial" w:cs="Arial"/>
                <w:sz w:val="16"/>
                <w:szCs w:val="16"/>
              </w:rPr>
              <w:t>YOK</w:t>
            </w:r>
          </w:p>
        </w:tc>
        <w:tc>
          <w:tcPr>
            <w:tcW w:w="1132" w:type="dxa"/>
          </w:tcPr>
          <w:p w:rsidR="00BC037C" w:rsidRPr="000F7A81" w:rsidRDefault="00FC1C9F" w:rsidP="000F7A81">
            <w:pPr>
              <w:jc w:val="center"/>
              <w:rPr>
                <w:rFonts w:ascii="Arial" w:hAnsi="Arial" w:cs="Arial"/>
                <w:sz w:val="16"/>
                <w:szCs w:val="16"/>
              </w:rPr>
            </w:pPr>
            <w:r w:rsidRPr="000F7A81">
              <w:rPr>
                <w:rFonts w:ascii="Arial" w:hAnsi="Arial" w:cs="Arial"/>
                <w:sz w:val="16"/>
                <w:szCs w:val="16"/>
              </w:rPr>
              <w:t>YOK</w:t>
            </w:r>
          </w:p>
        </w:tc>
        <w:tc>
          <w:tcPr>
            <w:tcW w:w="1132" w:type="dxa"/>
          </w:tcPr>
          <w:p w:rsidR="00BC037C" w:rsidRPr="000F7A81" w:rsidRDefault="00FC1C9F" w:rsidP="000F7A81">
            <w:pPr>
              <w:jc w:val="center"/>
              <w:rPr>
                <w:rFonts w:ascii="Arial" w:hAnsi="Arial" w:cs="Arial"/>
              </w:rPr>
            </w:pPr>
            <w:r w:rsidRPr="000F7A81">
              <w:rPr>
                <w:rFonts w:ascii="Arial" w:hAnsi="Arial" w:cs="Arial"/>
                <w:sz w:val="16"/>
                <w:szCs w:val="16"/>
              </w:rPr>
              <w:t>VAR</w:t>
            </w:r>
          </w:p>
        </w:tc>
        <w:tc>
          <w:tcPr>
            <w:tcW w:w="1132" w:type="dxa"/>
          </w:tcPr>
          <w:p w:rsidR="00BC037C" w:rsidRPr="000F7A81" w:rsidRDefault="00FC1C9F" w:rsidP="000F7A81">
            <w:pPr>
              <w:jc w:val="center"/>
              <w:rPr>
                <w:rFonts w:ascii="Arial" w:hAnsi="Arial" w:cs="Arial"/>
              </w:rPr>
            </w:pPr>
            <w:r w:rsidRPr="000F7A81">
              <w:rPr>
                <w:rFonts w:ascii="Arial" w:hAnsi="Arial" w:cs="Arial"/>
                <w:sz w:val="16"/>
                <w:szCs w:val="16"/>
              </w:rPr>
              <w:t>VAR</w:t>
            </w:r>
          </w:p>
        </w:tc>
        <w:tc>
          <w:tcPr>
            <w:tcW w:w="1307" w:type="dxa"/>
          </w:tcPr>
          <w:p w:rsidR="00BC037C" w:rsidRPr="000F7A81" w:rsidRDefault="00BC037C" w:rsidP="000F7A81">
            <w:pPr>
              <w:jc w:val="center"/>
              <w:rPr>
                <w:rFonts w:ascii="Arial" w:hAnsi="Arial" w:cs="Arial"/>
              </w:rPr>
            </w:pPr>
            <w:r w:rsidRPr="000F7A81">
              <w:rPr>
                <w:rFonts w:ascii="Arial" w:hAnsi="Arial" w:cs="Arial"/>
                <w:sz w:val="16"/>
                <w:szCs w:val="16"/>
              </w:rPr>
              <w:t>VAR</w:t>
            </w:r>
          </w:p>
        </w:tc>
      </w:tr>
      <w:tr w:rsidR="00BC037C" w:rsidRPr="000F7A81" w:rsidTr="000F7A81">
        <w:trPr>
          <w:trHeight w:val="556"/>
        </w:trPr>
        <w:tc>
          <w:tcPr>
            <w:tcW w:w="1533" w:type="dxa"/>
          </w:tcPr>
          <w:p w:rsidR="00BC037C" w:rsidRPr="000F7A81" w:rsidRDefault="00BC037C" w:rsidP="000F7A81">
            <w:pPr>
              <w:jc w:val="both"/>
              <w:rPr>
                <w:rFonts w:ascii="Arial" w:hAnsi="Arial" w:cs="Arial"/>
                <w:b/>
                <w:sz w:val="16"/>
                <w:szCs w:val="16"/>
              </w:rPr>
            </w:pPr>
            <w:r w:rsidRPr="000F7A81">
              <w:rPr>
                <w:rFonts w:ascii="Arial" w:hAnsi="Arial" w:cs="Arial"/>
                <w:b/>
                <w:sz w:val="16"/>
                <w:szCs w:val="16"/>
              </w:rPr>
              <w:t>Özkaynak Oranı</w:t>
            </w:r>
          </w:p>
        </w:tc>
        <w:tc>
          <w:tcPr>
            <w:tcW w:w="1132" w:type="dxa"/>
          </w:tcPr>
          <w:p w:rsidR="00BC037C" w:rsidRPr="000F7A81" w:rsidRDefault="00FC1C9F" w:rsidP="000F7A81">
            <w:pPr>
              <w:jc w:val="center"/>
              <w:rPr>
                <w:rFonts w:ascii="Arial" w:hAnsi="Arial" w:cs="Arial"/>
                <w:sz w:val="16"/>
                <w:szCs w:val="16"/>
              </w:rPr>
            </w:pPr>
            <w:r w:rsidRPr="000F7A81">
              <w:rPr>
                <w:rFonts w:ascii="Arial" w:hAnsi="Arial" w:cs="Arial"/>
                <w:sz w:val="16"/>
                <w:szCs w:val="16"/>
              </w:rPr>
              <w:t>Genel Hükümler</w:t>
            </w:r>
          </w:p>
        </w:tc>
        <w:tc>
          <w:tcPr>
            <w:tcW w:w="1132" w:type="dxa"/>
          </w:tcPr>
          <w:p w:rsidR="00BC037C" w:rsidRPr="000F7A81" w:rsidRDefault="00FC1C9F" w:rsidP="000F7A81">
            <w:pPr>
              <w:jc w:val="center"/>
              <w:rPr>
                <w:rFonts w:ascii="Arial" w:hAnsi="Arial" w:cs="Arial"/>
                <w:sz w:val="16"/>
                <w:szCs w:val="16"/>
              </w:rPr>
            </w:pPr>
            <w:r w:rsidRPr="000F7A81">
              <w:rPr>
                <w:rFonts w:ascii="Arial" w:hAnsi="Arial" w:cs="Arial"/>
                <w:sz w:val="16"/>
                <w:szCs w:val="16"/>
              </w:rPr>
              <w:t>% 75</w:t>
            </w:r>
          </w:p>
        </w:tc>
        <w:tc>
          <w:tcPr>
            <w:tcW w:w="1132" w:type="dxa"/>
            <w:vAlign w:val="center"/>
          </w:tcPr>
          <w:p w:rsidR="00BC037C" w:rsidRPr="000F7A81" w:rsidRDefault="00BC037C" w:rsidP="000F7A81">
            <w:pPr>
              <w:jc w:val="center"/>
              <w:rPr>
                <w:rFonts w:ascii="Arial" w:hAnsi="Arial" w:cs="Arial"/>
                <w:sz w:val="16"/>
                <w:szCs w:val="16"/>
              </w:rPr>
            </w:pPr>
            <w:r w:rsidRPr="000F7A81">
              <w:rPr>
                <w:rFonts w:ascii="Arial" w:hAnsi="Arial" w:cs="Arial"/>
                <w:sz w:val="16"/>
                <w:szCs w:val="16"/>
              </w:rPr>
              <w:t>%0</w:t>
            </w:r>
          </w:p>
        </w:tc>
        <w:tc>
          <w:tcPr>
            <w:tcW w:w="1132" w:type="dxa"/>
            <w:vAlign w:val="center"/>
          </w:tcPr>
          <w:p w:rsidR="00BC037C" w:rsidRPr="000F7A81" w:rsidRDefault="00BC037C" w:rsidP="000F7A81">
            <w:pPr>
              <w:jc w:val="center"/>
              <w:rPr>
                <w:rFonts w:ascii="Arial" w:hAnsi="Arial" w:cs="Arial"/>
                <w:sz w:val="16"/>
                <w:szCs w:val="16"/>
              </w:rPr>
            </w:pPr>
            <w:r w:rsidRPr="000F7A81">
              <w:rPr>
                <w:rFonts w:ascii="Arial" w:hAnsi="Arial" w:cs="Arial"/>
                <w:sz w:val="16"/>
                <w:szCs w:val="16"/>
              </w:rPr>
              <w:t>%0</w:t>
            </w:r>
          </w:p>
        </w:tc>
        <w:tc>
          <w:tcPr>
            <w:tcW w:w="1307" w:type="dxa"/>
            <w:vAlign w:val="center"/>
          </w:tcPr>
          <w:p w:rsidR="00BC037C" w:rsidRPr="000F7A81" w:rsidRDefault="00BC037C" w:rsidP="000F7A81">
            <w:pPr>
              <w:jc w:val="center"/>
              <w:rPr>
                <w:rFonts w:ascii="Arial" w:hAnsi="Arial" w:cs="Arial"/>
                <w:sz w:val="16"/>
                <w:szCs w:val="16"/>
              </w:rPr>
            </w:pPr>
            <w:r w:rsidRPr="000F7A81">
              <w:rPr>
                <w:rFonts w:ascii="Arial" w:hAnsi="Arial" w:cs="Arial"/>
                <w:sz w:val="16"/>
                <w:szCs w:val="16"/>
              </w:rPr>
              <w:t>%0</w:t>
            </w:r>
          </w:p>
        </w:tc>
      </w:tr>
      <w:tr w:rsidR="00BC037C" w:rsidRPr="000F7A81" w:rsidTr="000F7A81">
        <w:trPr>
          <w:trHeight w:val="785"/>
        </w:trPr>
        <w:tc>
          <w:tcPr>
            <w:tcW w:w="1533" w:type="dxa"/>
          </w:tcPr>
          <w:p w:rsidR="00BC037C" w:rsidRPr="000F7A81" w:rsidRDefault="00BC037C" w:rsidP="000F7A81">
            <w:pPr>
              <w:jc w:val="both"/>
              <w:rPr>
                <w:rFonts w:ascii="Arial" w:hAnsi="Arial" w:cs="Arial"/>
                <w:b/>
                <w:sz w:val="16"/>
                <w:szCs w:val="16"/>
              </w:rPr>
            </w:pPr>
            <w:r w:rsidRPr="000F7A81">
              <w:rPr>
                <w:rFonts w:ascii="Arial" w:hAnsi="Arial" w:cs="Arial"/>
                <w:b/>
                <w:sz w:val="16"/>
                <w:szCs w:val="16"/>
              </w:rPr>
              <w:t>Açık Takas Pozisyonu/ Özkaynak Oranı</w:t>
            </w:r>
          </w:p>
        </w:tc>
        <w:tc>
          <w:tcPr>
            <w:tcW w:w="1132" w:type="dxa"/>
          </w:tcPr>
          <w:p w:rsidR="00BC037C" w:rsidRPr="000F7A81" w:rsidRDefault="00FC1C9F" w:rsidP="000F7A81">
            <w:pPr>
              <w:jc w:val="center"/>
              <w:rPr>
                <w:rFonts w:ascii="Arial" w:hAnsi="Arial" w:cs="Arial"/>
                <w:sz w:val="16"/>
                <w:szCs w:val="16"/>
              </w:rPr>
            </w:pPr>
            <w:r w:rsidRPr="000F7A81">
              <w:rPr>
                <w:rFonts w:ascii="Arial" w:hAnsi="Arial" w:cs="Arial"/>
                <w:sz w:val="16"/>
                <w:szCs w:val="16"/>
              </w:rPr>
              <w:t>Genel Hükümler</w:t>
            </w:r>
          </w:p>
        </w:tc>
        <w:tc>
          <w:tcPr>
            <w:tcW w:w="1132" w:type="dxa"/>
          </w:tcPr>
          <w:p w:rsidR="00BC037C" w:rsidRPr="000F7A81" w:rsidRDefault="00BC037C" w:rsidP="000F7A81">
            <w:pPr>
              <w:jc w:val="center"/>
              <w:rPr>
                <w:rFonts w:ascii="Arial" w:hAnsi="Arial" w:cs="Arial"/>
                <w:sz w:val="16"/>
                <w:szCs w:val="16"/>
              </w:rPr>
            </w:pPr>
          </w:p>
          <w:p w:rsidR="00FC1C9F" w:rsidRPr="000F7A81" w:rsidRDefault="00FC1C9F" w:rsidP="000F7A81">
            <w:pPr>
              <w:jc w:val="center"/>
              <w:rPr>
                <w:rFonts w:ascii="Arial" w:hAnsi="Arial" w:cs="Arial"/>
                <w:sz w:val="16"/>
                <w:szCs w:val="16"/>
              </w:rPr>
            </w:pPr>
            <w:r w:rsidRPr="000F7A81">
              <w:rPr>
                <w:rFonts w:ascii="Arial" w:hAnsi="Arial" w:cs="Arial"/>
                <w:sz w:val="16"/>
                <w:szCs w:val="16"/>
              </w:rPr>
              <w:t>%50</w:t>
            </w:r>
          </w:p>
        </w:tc>
        <w:tc>
          <w:tcPr>
            <w:tcW w:w="1132" w:type="dxa"/>
            <w:vAlign w:val="center"/>
          </w:tcPr>
          <w:p w:rsidR="00BC037C" w:rsidRPr="000F7A81" w:rsidRDefault="00BC037C" w:rsidP="000F7A81">
            <w:pPr>
              <w:jc w:val="center"/>
              <w:rPr>
                <w:rFonts w:ascii="Arial" w:hAnsi="Arial" w:cs="Arial"/>
                <w:sz w:val="16"/>
                <w:szCs w:val="16"/>
              </w:rPr>
            </w:pPr>
            <w:r w:rsidRPr="000F7A81">
              <w:rPr>
                <w:rFonts w:ascii="Arial" w:hAnsi="Arial" w:cs="Arial"/>
                <w:sz w:val="16"/>
                <w:szCs w:val="16"/>
              </w:rPr>
              <w:t>%100</w:t>
            </w:r>
          </w:p>
        </w:tc>
        <w:tc>
          <w:tcPr>
            <w:tcW w:w="1132" w:type="dxa"/>
            <w:vAlign w:val="center"/>
          </w:tcPr>
          <w:p w:rsidR="00BC037C" w:rsidRPr="000F7A81" w:rsidRDefault="00BC037C" w:rsidP="000F7A81">
            <w:pPr>
              <w:jc w:val="center"/>
              <w:rPr>
                <w:rFonts w:ascii="Arial" w:hAnsi="Arial" w:cs="Arial"/>
                <w:sz w:val="16"/>
                <w:szCs w:val="16"/>
              </w:rPr>
            </w:pPr>
            <w:r w:rsidRPr="000F7A81">
              <w:rPr>
                <w:rFonts w:ascii="Arial" w:hAnsi="Arial" w:cs="Arial"/>
                <w:sz w:val="16"/>
                <w:szCs w:val="16"/>
              </w:rPr>
              <w:t>%100</w:t>
            </w:r>
          </w:p>
        </w:tc>
        <w:tc>
          <w:tcPr>
            <w:tcW w:w="1307" w:type="dxa"/>
            <w:vAlign w:val="center"/>
          </w:tcPr>
          <w:p w:rsidR="00BC037C" w:rsidRPr="000F7A81" w:rsidRDefault="00BC037C" w:rsidP="000F7A81">
            <w:pPr>
              <w:jc w:val="center"/>
              <w:rPr>
                <w:rFonts w:ascii="Arial" w:hAnsi="Arial" w:cs="Arial"/>
                <w:sz w:val="16"/>
                <w:szCs w:val="16"/>
              </w:rPr>
            </w:pPr>
            <w:r w:rsidRPr="000F7A81">
              <w:rPr>
                <w:rFonts w:ascii="Arial" w:hAnsi="Arial" w:cs="Arial"/>
                <w:sz w:val="16"/>
                <w:szCs w:val="16"/>
              </w:rPr>
              <w:t>%100</w:t>
            </w:r>
          </w:p>
        </w:tc>
      </w:tr>
      <w:tr w:rsidR="00BC037C" w:rsidRPr="000F7A81" w:rsidTr="000F7A81">
        <w:trPr>
          <w:trHeight w:val="408"/>
        </w:trPr>
        <w:tc>
          <w:tcPr>
            <w:tcW w:w="1533" w:type="dxa"/>
          </w:tcPr>
          <w:p w:rsidR="00BC037C" w:rsidRPr="000F7A81" w:rsidRDefault="00BC037C" w:rsidP="000F7A81">
            <w:pPr>
              <w:jc w:val="both"/>
              <w:rPr>
                <w:rFonts w:ascii="Arial" w:hAnsi="Arial" w:cs="Arial"/>
                <w:b/>
                <w:sz w:val="16"/>
                <w:szCs w:val="16"/>
              </w:rPr>
            </w:pPr>
            <w:r w:rsidRPr="000F7A81">
              <w:rPr>
                <w:rFonts w:ascii="Arial" w:hAnsi="Arial" w:cs="Arial"/>
                <w:b/>
                <w:sz w:val="16"/>
                <w:szCs w:val="16"/>
              </w:rPr>
              <w:t>Fiyat Marjı</w:t>
            </w:r>
          </w:p>
        </w:tc>
        <w:tc>
          <w:tcPr>
            <w:tcW w:w="1132" w:type="dxa"/>
          </w:tcPr>
          <w:p w:rsidR="00BC037C" w:rsidRPr="000F7A81" w:rsidRDefault="00FC1C9F" w:rsidP="000F7A81">
            <w:pPr>
              <w:jc w:val="center"/>
              <w:rPr>
                <w:rFonts w:ascii="Arial" w:hAnsi="Arial" w:cs="Arial"/>
                <w:sz w:val="16"/>
                <w:szCs w:val="16"/>
              </w:rPr>
            </w:pPr>
            <w:r w:rsidRPr="000F7A81">
              <w:rPr>
                <w:rFonts w:ascii="Arial" w:hAnsi="Arial" w:cs="Arial"/>
                <w:sz w:val="16"/>
                <w:szCs w:val="16"/>
              </w:rPr>
              <w:t>% 20</w:t>
            </w:r>
          </w:p>
        </w:tc>
        <w:tc>
          <w:tcPr>
            <w:tcW w:w="1132" w:type="dxa"/>
          </w:tcPr>
          <w:p w:rsidR="00BC037C" w:rsidRPr="000F7A81" w:rsidRDefault="00FC1C9F" w:rsidP="000F7A81">
            <w:pPr>
              <w:jc w:val="center"/>
              <w:rPr>
                <w:rFonts w:ascii="Arial" w:hAnsi="Arial" w:cs="Arial"/>
                <w:sz w:val="16"/>
                <w:szCs w:val="16"/>
              </w:rPr>
            </w:pPr>
            <w:r w:rsidRPr="000F7A81">
              <w:rPr>
                <w:rFonts w:ascii="Arial" w:hAnsi="Arial" w:cs="Arial"/>
                <w:sz w:val="16"/>
                <w:szCs w:val="16"/>
              </w:rPr>
              <w:t>%15</w:t>
            </w:r>
          </w:p>
        </w:tc>
        <w:tc>
          <w:tcPr>
            <w:tcW w:w="1132" w:type="dxa"/>
          </w:tcPr>
          <w:p w:rsidR="00BC037C" w:rsidRPr="000F7A81" w:rsidRDefault="00BC037C" w:rsidP="000F7A81">
            <w:pPr>
              <w:jc w:val="center"/>
              <w:rPr>
                <w:rFonts w:ascii="Arial" w:hAnsi="Arial" w:cs="Arial"/>
                <w:sz w:val="16"/>
                <w:szCs w:val="16"/>
              </w:rPr>
            </w:pPr>
            <w:r w:rsidRPr="000F7A81">
              <w:rPr>
                <w:rFonts w:ascii="Arial" w:hAnsi="Arial" w:cs="Arial"/>
                <w:sz w:val="16"/>
                <w:szCs w:val="16"/>
              </w:rPr>
              <w:t>%10</w:t>
            </w:r>
          </w:p>
        </w:tc>
        <w:tc>
          <w:tcPr>
            <w:tcW w:w="1132" w:type="dxa"/>
          </w:tcPr>
          <w:p w:rsidR="00BC037C" w:rsidRPr="000F7A81" w:rsidRDefault="00BC037C" w:rsidP="000F7A81">
            <w:pPr>
              <w:jc w:val="center"/>
              <w:rPr>
                <w:rFonts w:ascii="Arial" w:hAnsi="Arial" w:cs="Arial"/>
                <w:sz w:val="16"/>
                <w:szCs w:val="16"/>
              </w:rPr>
            </w:pPr>
            <w:r w:rsidRPr="000F7A81">
              <w:rPr>
                <w:rFonts w:ascii="Arial" w:hAnsi="Arial" w:cs="Arial"/>
                <w:sz w:val="16"/>
                <w:szCs w:val="16"/>
              </w:rPr>
              <w:t>%10</w:t>
            </w:r>
          </w:p>
        </w:tc>
        <w:tc>
          <w:tcPr>
            <w:tcW w:w="1307" w:type="dxa"/>
          </w:tcPr>
          <w:p w:rsidR="00BC037C" w:rsidRPr="000F7A81" w:rsidRDefault="00BC037C" w:rsidP="000F7A81">
            <w:pPr>
              <w:jc w:val="center"/>
              <w:rPr>
                <w:rFonts w:ascii="Arial" w:hAnsi="Arial" w:cs="Arial"/>
                <w:sz w:val="16"/>
                <w:szCs w:val="16"/>
              </w:rPr>
            </w:pPr>
            <w:r w:rsidRPr="000F7A81">
              <w:rPr>
                <w:rFonts w:ascii="Arial" w:hAnsi="Arial" w:cs="Arial"/>
                <w:sz w:val="16"/>
                <w:szCs w:val="16"/>
              </w:rPr>
              <w:t>%10</w:t>
            </w:r>
          </w:p>
        </w:tc>
      </w:tr>
      <w:tr w:rsidR="00BC037C" w:rsidRPr="000F7A81" w:rsidTr="00BC037C">
        <w:tc>
          <w:tcPr>
            <w:tcW w:w="1533" w:type="dxa"/>
          </w:tcPr>
          <w:p w:rsidR="00BC037C" w:rsidRPr="000F7A81" w:rsidRDefault="00BC037C" w:rsidP="000F7A81">
            <w:pPr>
              <w:jc w:val="both"/>
              <w:rPr>
                <w:rFonts w:ascii="Arial" w:hAnsi="Arial" w:cs="Arial"/>
                <w:b/>
                <w:sz w:val="16"/>
                <w:szCs w:val="16"/>
              </w:rPr>
            </w:pPr>
            <w:r w:rsidRPr="000F7A81">
              <w:rPr>
                <w:rFonts w:ascii="Arial" w:hAnsi="Arial" w:cs="Arial"/>
                <w:b/>
                <w:sz w:val="16"/>
                <w:szCs w:val="16"/>
              </w:rPr>
              <w:t>Açığa Satış Yukarı Adım Kuralı</w:t>
            </w:r>
          </w:p>
        </w:tc>
        <w:tc>
          <w:tcPr>
            <w:tcW w:w="1132" w:type="dxa"/>
          </w:tcPr>
          <w:p w:rsidR="00BC037C" w:rsidRPr="000F7A81" w:rsidRDefault="00BC037C" w:rsidP="000F7A81">
            <w:pPr>
              <w:jc w:val="center"/>
              <w:rPr>
                <w:rFonts w:ascii="Arial" w:hAnsi="Arial" w:cs="Arial"/>
                <w:sz w:val="16"/>
                <w:szCs w:val="16"/>
              </w:rPr>
            </w:pPr>
          </w:p>
          <w:p w:rsidR="00FC1C9F" w:rsidRPr="000F7A81" w:rsidRDefault="00FC1C9F" w:rsidP="000F7A81">
            <w:pPr>
              <w:jc w:val="center"/>
              <w:rPr>
                <w:rFonts w:ascii="Arial" w:hAnsi="Arial" w:cs="Arial"/>
                <w:sz w:val="16"/>
                <w:szCs w:val="16"/>
              </w:rPr>
            </w:pPr>
            <w:r w:rsidRPr="000F7A81">
              <w:rPr>
                <w:rFonts w:ascii="Arial" w:hAnsi="Arial" w:cs="Arial"/>
                <w:sz w:val="16"/>
                <w:szCs w:val="16"/>
              </w:rPr>
              <w:t>YOK</w:t>
            </w:r>
          </w:p>
        </w:tc>
        <w:tc>
          <w:tcPr>
            <w:tcW w:w="1132" w:type="dxa"/>
          </w:tcPr>
          <w:p w:rsidR="00BC037C" w:rsidRPr="000F7A81" w:rsidRDefault="00BC037C" w:rsidP="000F7A81">
            <w:pPr>
              <w:jc w:val="center"/>
              <w:rPr>
                <w:rFonts w:ascii="Arial" w:hAnsi="Arial" w:cs="Arial"/>
                <w:sz w:val="16"/>
                <w:szCs w:val="16"/>
              </w:rPr>
            </w:pPr>
          </w:p>
          <w:p w:rsidR="00FC1C9F" w:rsidRPr="000F7A81" w:rsidRDefault="00FC1C9F" w:rsidP="000F7A81">
            <w:pPr>
              <w:jc w:val="center"/>
              <w:rPr>
                <w:rFonts w:ascii="Arial" w:hAnsi="Arial" w:cs="Arial"/>
                <w:sz w:val="16"/>
                <w:szCs w:val="16"/>
              </w:rPr>
            </w:pPr>
            <w:r w:rsidRPr="000F7A81">
              <w:rPr>
                <w:rFonts w:ascii="Arial" w:hAnsi="Arial" w:cs="Arial"/>
                <w:sz w:val="16"/>
                <w:szCs w:val="16"/>
              </w:rPr>
              <w:t>VAR</w:t>
            </w:r>
          </w:p>
        </w:tc>
        <w:tc>
          <w:tcPr>
            <w:tcW w:w="1132" w:type="dxa"/>
            <w:vAlign w:val="center"/>
          </w:tcPr>
          <w:p w:rsidR="00BC037C" w:rsidRPr="000F7A81" w:rsidRDefault="00BC037C" w:rsidP="000F7A81">
            <w:pPr>
              <w:jc w:val="center"/>
              <w:rPr>
                <w:rFonts w:ascii="Arial" w:hAnsi="Arial" w:cs="Arial"/>
                <w:sz w:val="16"/>
                <w:szCs w:val="16"/>
              </w:rPr>
            </w:pPr>
            <w:r w:rsidRPr="000F7A81">
              <w:rPr>
                <w:rFonts w:ascii="Arial" w:hAnsi="Arial" w:cs="Arial"/>
                <w:sz w:val="16"/>
                <w:szCs w:val="16"/>
              </w:rPr>
              <w:t>-</w:t>
            </w:r>
          </w:p>
        </w:tc>
        <w:tc>
          <w:tcPr>
            <w:tcW w:w="1132" w:type="dxa"/>
            <w:vAlign w:val="center"/>
          </w:tcPr>
          <w:p w:rsidR="00BC037C" w:rsidRPr="000F7A81" w:rsidRDefault="00BC037C" w:rsidP="000F7A81">
            <w:pPr>
              <w:jc w:val="center"/>
              <w:rPr>
                <w:rFonts w:ascii="Arial" w:hAnsi="Arial" w:cs="Arial"/>
                <w:sz w:val="16"/>
                <w:szCs w:val="16"/>
              </w:rPr>
            </w:pPr>
            <w:r w:rsidRPr="000F7A81">
              <w:rPr>
                <w:rFonts w:ascii="Arial" w:hAnsi="Arial" w:cs="Arial"/>
                <w:sz w:val="16"/>
                <w:szCs w:val="16"/>
              </w:rPr>
              <w:t>-</w:t>
            </w:r>
          </w:p>
        </w:tc>
        <w:tc>
          <w:tcPr>
            <w:tcW w:w="1307" w:type="dxa"/>
            <w:vAlign w:val="center"/>
          </w:tcPr>
          <w:p w:rsidR="00BC037C" w:rsidRPr="000F7A81" w:rsidRDefault="00BC037C" w:rsidP="000F7A81">
            <w:pPr>
              <w:jc w:val="center"/>
              <w:rPr>
                <w:rFonts w:ascii="Arial" w:hAnsi="Arial" w:cs="Arial"/>
                <w:sz w:val="16"/>
                <w:szCs w:val="16"/>
              </w:rPr>
            </w:pPr>
            <w:r w:rsidRPr="000F7A81">
              <w:rPr>
                <w:rFonts w:ascii="Arial" w:hAnsi="Arial" w:cs="Arial"/>
                <w:sz w:val="16"/>
                <w:szCs w:val="16"/>
              </w:rPr>
              <w:t>-</w:t>
            </w:r>
          </w:p>
        </w:tc>
      </w:tr>
      <w:tr w:rsidR="00BC037C" w:rsidRPr="000F7A81" w:rsidTr="00BC037C">
        <w:tc>
          <w:tcPr>
            <w:tcW w:w="1533" w:type="dxa"/>
          </w:tcPr>
          <w:p w:rsidR="00BC037C" w:rsidRPr="000F7A81" w:rsidRDefault="00BC037C" w:rsidP="000F7A81">
            <w:pPr>
              <w:jc w:val="both"/>
              <w:rPr>
                <w:rFonts w:ascii="Arial" w:hAnsi="Arial" w:cs="Arial"/>
                <w:b/>
                <w:sz w:val="16"/>
                <w:szCs w:val="16"/>
              </w:rPr>
            </w:pPr>
            <w:r w:rsidRPr="000F7A81">
              <w:rPr>
                <w:rFonts w:ascii="Arial" w:hAnsi="Arial" w:cs="Arial"/>
                <w:b/>
                <w:sz w:val="16"/>
                <w:szCs w:val="16"/>
              </w:rPr>
              <w:t>Devre Kesici Tetikleme Oranı</w:t>
            </w:r>
          </w:p>
        </w:tc>
        <w:tc>
          <w:tcPr>
            <w:tcW w:w="1132" w:type="dxa"/>
          </w:tcPr>
          <w:p w:rsidR="00BC037C" w:rsidRPr="000F7A81" w:rsidRDefault="00BC037C" w:rsidP="000F7A81">
            <w:pPr>
              <w:jc w:val="center"/>
              <w:rPr>
                <w:rFonts w:ascii="Arial" w:hAnsi="Arial" w:cs="Arial"/>
                <w:sz w:val="16"/>
                <w:szCs w:val="16"/>
              </w:rPr>
            </w:pPr>
          </w:p>
          <w:p w:rsidR="00FC1C9F" w:rsidRPr="000F7A81" w:rsidRDefault="00FC1C9F" w:rsidP="000F7A81">
            <w:pPr>
              <w:jc w:val="center"/>
              <w:rPr>
                <w:rFonts w:ascii="Arial" w:hAnsi="Arial" w:cs="Arial"/>
                <w:sz w:val="16"/>
                <w:szCs w:val="16"/>
              </w:rPr>
            </w:pPr>
            <w:r w:rsidRPr="000F7A81">
              <w:rPr>
                <w:rFonts w:ascii="Arial" w:hAnsi="Arial" w:cs="Arial"/>
                <w:sz w:val="16"/>
                <w:szCs w:val="16"/>
              </w:rPr>
              <w:t>%10</w:t>
            </w:r>
          </w:p>
        </w:tc>
        <w:tc>
          <w:tcPr>
            <w:tcW w:w="1132" w:type="dxa"/>
          </w:tcPr>
          <w:p w:rsidR="00BC037C" w:rsidRPr="000F7A81" w:rsidRDefault="00BC037C" w:rsidP="000F7A81">
            <w:pPr>
              <w:jc w:val="center"/>
              <w:rPr>
                <w:rFonts w:ascii="Arial" w:hAnsi="Arial" w:cs="Arial"/>
                <w:sz w:val="16"/>
                <w:szCs w:val="16"/>
              </w:rPr>
            </w:pPr>
          </w:p>
          <w:p w:rsidR="00FC1C9F" w:rsidRPr="000F7A81" w:rsidRDefault="00FC1C9F" w:rsidP="000F7A81">
            <w:pPr>
              <w:jc w:val="center"/>
              <w:rPr>
                <w:rFonts w:ascii="Arial" w:hAnsi="Arial" w:cs="Arial"/>
                <w:sz w:val="16"/>
                <w:szCs w:val="16"/>
              </w:rPr>
            </w:pPr>
            <w:r w:rsidRPr="000F7A81">
              <w:rPr>
                <w:rFonts w:ascii="Arial" w:hAnsi="Arial" w:cs="Arial"/>
                <w:sz w:val="16"/>
                <w:szCs w:val="16"/>
              </w:rPr>
              <w:t>% 7,5</w:t>
            </w:r>
          </w:p>
        </w:tc>
        <w:tc>
          <w:tcPr>
            <w:tcW w:w="1132" w:type="dxa"/>
            <w:vAlign w:val="center"/>
          </w:tcPr>
          <w:p w:rsidR="00FC1C9F" w:rsidRPr="000F7A81" w:rsidRDefault="00FC1C9F" w:rsidP="000F7A81">
            <w:pPr>
              <w:jc w:val="center"/>
              <w:rPr>
                <w:rFonts w:ascii="Arial" w:hAnsi="Arial" w:cs="Arial"/>
                <w:sz w:val="16"/>
                <w:szCs w:val="16"/>
              </w:rPr>
            </w:pPr>
          </w:p>
          <w:p w:rsidR="00BC037C" w:rsidRPr="000F7A81" w:rsidRDefault="00FC1C9F" w:rsidP="000F7A81">
            <w:pPr>
              <w:jc w:val="center"/>
              <w:rPr>
                <w:rFonts w:ascii="Arial" w:hAnsi="Arial" w:cs="Arial"/>
                <w:sz w:val="16"/>
                <w:szCs w:val="16"/>
              </w:rPr>
            </w:pPr>
            <w:r w:rsidRPr="000F7A81">
              <w:rPr>
                <w:rFonts w:ascii="Arial" w:hAnsi="Arial" w:cs="Arial"/>
                <w:sz w:val="16"/>
                <w:szCs w:val="16"/>
              </w:rPr>
              <w:t>%5</w:t>
            </w:r>
          </w:p>
        </w:tc>
        <w:tc>
          <w:tcPr>
            <w:tcW w:w="1132" w:type="dxa"/>
            <w:vAlign w:val="center"/>
          </w:tcPr>
          <w:p w:rsidR="00BC037C" w:rsidRPr="000F7A81" w:rsidRDefault="00BC037C" w:rsidP="000F7A81">
            <w:pPr>
              <w:jc w:val="center"/>
              <w:rPr>
                <w:rFonts w:ascii="Arial" w:hAnsi="Arial" w:cs="Arial"/>
                <w:sz w:val="16"/>
                <w:szCs w:val="16"/>
              </w:rPr>
            </w:pPr>
            <w:r w:rsidRPr="000F7A81">
              <w:rPr>
                <w:rFonts w:ascii="Arial" w:hAnsi="Arial" w:cs="Arial"/>
                <w:sz w:val="16"/>
                <w:szCs w:val="16"/>
              </w:rPr>
              <w:t>-</w:t>
            </w:r>
          </w:p>
        </w:tc>
        <w:tc>
          <w:tcPr>
            <w:tcW w:w="1307" w:type="dxa"/>
            <w:vAlign w:val="center"/>
          </w:tcPr>
          <w:p w:rsidR="00BC037C" w:rsidRPr="000F7A81" w:rsidRDefault="00BC037C" w:rsidP="000F7A81">
            <w:pPr>
              <w:jc w:val="center"/>
              <w:rPr>
                <w:rFonts w:ascii="Arial" w:hAnsi="Arial" w:cs="Arial"/>
                <w:sz w:val="16"/>
                <w:szCs w:val="16"/>
              </w:rPr>
            </w:pPr>
            <w:r w:rsidRPr="000F7A81">
              <w:rPr>
                <w:rFonts w:ascii="Arial" w:hAnsi="Arial" w:cs="Arial"/>
                <w:sz w:val="16"/>
                <w:szCs w:val="16"/>
              </w:rPr>
              <w:t>-</w:t>
            </w:r>
          </w:p>
        </w:tc>
      </w:tr>
      <w:tr w:rsidR="00BC037C" w:rsidRPr="000F7A81" w:rsidTr="00BC037C">
        <w:tc>
          <w:tcPr>
            <w:tcW w:w="1533" w:type="dxa"/>
          </w:tcPr>
          <w:p w:rsidR="00BC037C" w:rsidRPr="000F7A81" w:rsidRDefault="00BC037C" w:rsidP="000F7A81">
            <w:pPr>
              <w:jc w:val="both"/>
              <w:rPr>
                <w:rFonts w:ascii="Arial" w:hAnsi="Arial" w:cs="Arial"/>
                <w:b/>
                <w:sz w:val="16"/>
                <w:szCs w:val="16"/>
              </w:rPr>
            </w:pPr>
            <w:r w:rsidRPr="000F7A81">
              <w:rPr>
                <w:rFonts w:ascii="Arial" w:hAnsi="Arial" w:cs="Arial"/>
                <w:b/>
                <w:sz w:val="16"/>
                <w:szCs w:val="16"/>
              </w:rPr>
              <w:lastRenderedPageBreak/>
              <w:t>Devre Kesici Sonrası Emir Toplama Süreci</w:t>
            </w:r>
          </w:p>
        </w:tc>
        <w:tc>
          <w:tcPr>
            <w:tcW w:w="1132" w:type="dxa"/>
          </w:tcPr>
          <w:p w:rsidR="00BC037C" w:rsidRPr="000F7A81" w:rsidRDefault="00BC037C" w:rsidP="000F7A81">
            <w:pPr>
              <w:jc w:val="center"/>
              <w:rPr>
                <w:rFonts w:ascii="Arial" w:hAnsi="Arial" w:cs="Arial"/>
                <w:sz w:val="16"/>
                <w:szCs w:val="16"/>
              </w:rPr>
            </w:pPr>
          </w:p>
          <w:p w:rsidR="002C5798" w:rsidRPr="000F7A81" w:rsidRDefault="002C5798" w:rsidP="000F7A81">
            <w:pPr>
              <w:jc w:val="center"/>
              <w:rPr>
                <w:rFonts w:ascii="Arial" w:hAnsi="Arial" w:cs="Arial"/>
                <w:sz w:val="16"/>
                <w:szCs w:val="16"/>
              </w:rPr>
            </w:pPr>
            <w:r w:rsidRPr="000F7A81">
              <w:rPr>
                <w:rFonts w:ascii="Arial" w:hAnsi="Arial" w:cs="Arial"/>
                <w:sz w:val="16"/>
                <w:szCs w:val="16"/>
              </w:rPr>
              <w:t>5 dakika</w:t>
            </w:r>
          </w:p>
        </w:tc>
        <w:tc>
          <w:tcPr>
            <w:tcW w:w="1132" w:type="dxa"/>
          </w:tcPr>
          <w:p w:rsidR="00BC037C" w:rsidRPr="000F7A81" w:rsidRDefault="00BC037C" w:rsidP="000F7A81">
            <w:pPr>
              <w:jc w:val="center"/>
              <w:rPr>
                <w:rFonts w:ascii="Arial" w:hAnsi="Arial" w:cs="Arial"/>
                <w:sz w:val="16"/>
                <w:szCs w:val="16"/>
              </w:rPr>
            </w:pPr>
          </w:p>
          <w:p w:rsidR="002C5798" w:rsidRPr="000F7A81" w:rsidRDefault="002C5798" w:rsidP="000F7A81">
            <w:pPr>
              <w:jc w:val="center"/>
              <w:rPr>
                <w:rFonts w:ascii="Arial" w:hAnsi="Arial" w:cs="Arial"/>
                <w:sz w:val="16"/>
                <w:szCs w:val="16"/>
              </w:rPr>
            </w:pPr>
            <w:r w:rsidRPr="000F7A81">
              <w:rPr>
                <w:rFonts w:ascii="Arial" w:hAnsi="Arial" w:cs="Arial"/>
                <w:sz w:val="16"/>
                <w:szCs w:val="16"/>
              </w:rPr>
              <w:t>15 dakika</w:t>
            </w:r>
          </w:p>
        </w:tc>
        <w:tc>
          <w:tcPr>
            <w:tcW w:w="1132" w:type="dxa"/>
            <w:vAlign w:val="center"/>
          </w:tcPr>
          <w:p w:rsidR="00BC037C" w:rsidRPr="000F7A81" w:rsidRDefault="002C5798" w:rsidP="000F7A81">
            <w:pPr>
              <w:jc w:val="center"/>
              <w:rPr>
                <w:rFonts w:ascii="Arial" w:hAnsi="Arial" w:cs="Arial"/>
                <w:sz w:val="16"/>
                <w:szCs w:val="16"/>
              </w:rPr>
            </w:pPr>
            <w:r w:rsidRPr="000F7A81">
              <w:rPr>
                <w:rFonts w:ascii="Arial" w:hAnsi="Arial" w:cs="Arial"/>
                <w:sz w:val="16"/>
                <w:szCs w:val="16"/>
              </w:rPr>
              <w:t>15 dakika</w:t>
            </w:r>
          </w:p>
        </w:tc>
        <w:tc>
          <w:tcPr>
            <w:tcW w:w="1132" w:type="dxa"/>
            <w:vAlign w:val="center"/>
          </w:tcPr>
          <w:p w:rsidR="00BC037C" w:rsidRPr="000F7A81" w:rsidRDefault="00BC037C" w:rsidP="000F7A81">
            <w:pPr>
              <w:jc w:val="center"/>
              <w:rPr>
                <w:rFonts w:ascii="Arial" w:hAnsi="Arial" w:cs="Arial"/>
                <w:sz w:val="16"/>
                <w:szCs w:val="16"/>
              </w:rPr>
            </w:pPr>
            <w:r w:rsidRPr="000F7A81">
              <w:rPr>
                <w:rFonts w:ascii="Arial" w:hAnsi="Arial" w:cs="Arial"/>
                <w:sz w:val="16"/>
                <w:szCs w:val="16"/>
              </w:rPr>
              <w:t>-</w:t>
            </w:r>
          </w:p>
        </w:tc>
        <w:tc>
          <w:tcPr>
            <w:tcW w:w="1307" w:type="dxa"/>
            <w:vAlign w:val="center"/>
          </w:tcPr>
          <w:p w:rsidR="00BC037C" w:rsidRPr="000F7A81" w:rsidRDefault="00BC037C" w:rsidP="000F7A81">
            <w:pPr>
              <w:jc w:val="center"/>
              <w:rPr>
                <w:rFonts w:ascii="Arial" w:hAnsi="Arial" w:cs="Arial"/>
                <w:sz w:val="16"/>
                <w:szCs w:val="16"/>
              </w:rPr>
            </w:pPr>
            <w:r w:rsidRPr="000F7A81">
              <w:rPr>
                <w:rFonts w:ascii="Arial" w:hAnsi="Arial" w:cs="Arial"/>
                <w:sz w:val="16"/>
                <w:szCs w:val="16"/>
              </w:rPr>
              <w:t>-</w:t>
            </w:r>
          </w:p>
        </w:tc>
      </w:tr>
      <w:tr w:rsidR="00BC037C" w:rsidRPr="000F7A81" w:rsidTr="00BC037C">
        <w:tc>
          <w:tcPr>
            <w:tcW w:w="1533" w:type="dxa"/>
          </w:tcPr>
          <w:p w:rsidR="00BC037C" w:rsidRPr="000F7A81" w:rsidRDefault="00BC037C" w:rsidP="000F7A81">
            <w:pPr>
              <w:jc w:val="both"/>
              <w:rPr>
                <w:rFonts w:ascii="Arial" w:hAnsi="Arial" w:cs="Arial"/>
                <w:b/>
                <w:sz w:val="16"/>
                <w:szCs w:val="16"/>
              </w:rPr>
            </w:pPr>
            <w:r w:rsidRPr="000F7A81">
              <w:rPr>
                <w:rFonts w:ascii="Arial" w:hAnsi="Arial" w:cs="Arial"/>
                <w:b/>
                <w:sz w:val="16"/>
                <w:szCs w:val="16"/>
              </w:rPr>
              <w:t>Devre Kesici Sonrası Eşleştirme Süresi</w:t>
            </w:r>
          </w:p>
        </w:tc>
        <w:tc>
          <w:tcPr>
            <w:tcW w:w="1132" w:type="dxa"/>
          </w:tcPr>
          <w:p w:rsidR="00BC037C" w:rsidRPr="000F7A81" w:rsidRDefault="00BC037C" w:rsidP="000F7A81">
            <w:pPr>
              <w:jc w:val="center"/>
              <w:rPr>
                <w:rFonts w:ascii="Arial" w:hAnsi="Arial" w:cs="Arial"/>
                <w:sz w:val="16"/>
                <w:szCs w:val="16"/>
              </w:rPr>
            </w:pPr>
          </w:p>
          <w:p w:rsidR="002C5798" w:rsidRPr="000F7A81" w:rsidRDefault="002C5798" w:rsidP="000F7A81">
            <w:pPr>
              <w:jc w:val="center"/>
              <w:rPr>
                <w:rFonts w:ascii="Arial" w:hAnsi="Arial" w:cs="Arial"/>
                <w:sz w:val="16"/>
                <w:szCs w:val="16"/>
              </w:rPr>
            </w:pPr>
          </w:p>
          <w:p w:rsidR="002C5798" w:rsidRPr="000F7A81" w:rsidRDefault="002C5798" w:rsidP="000F7A81">
            <w:pPr>
              <w:jc w:val="center"/>
              <w:rPr>
                <w:rFonts w:ascii="Arial" w:hAnsi="Arial" w:cs="Arial"/>
                <w:sz w:val="16"/>
                <w:szCs w:val="16"/>
              </w:rPr>
            </w:pPr>
            <w:r w:rsidRPr="000F7A81">
              <w:rPr>
                <w:rFonts w:ascii="Arial" w:hAnsi="Arial" w:cs="Arial"/>
                <w:sz w:val="16"/>
                <w:szCs w:val="16"/>
              </w:rPr>
              <w:t>2 dakika</w:t>
            </w:r>
          </w:p>
        </w:tc>
        <w:tc>
          <w:tcPr>
            <w:tcW w:w="1132" w:type="dxa"/>
          </w:tcPr>
          <w:p w:rsidR="00BC037C" w:rsidRPr="000F7A81" w:rsidRDefault="00BC037C" w:rsidP="000F7A81">
            <w:pPr>
              <w:jc w:val="center"/>
              <w:rPr>
                <w:rFonts w:ascii="Arial" w:hAnsi="Arial" w:cs="Arial"/>
                <w:sz w:val="16"/>
                <w:szCs w:val="16"/>
              </w:rPr>
            </w:pPr>
          </w:p>
          <w:p w:rsidR="002C5798" w:rsidRPr="000F7A81" w:rsidRDefault="002C5798" w:rsidP="000F7A81">
            <w:pPr>
              <w:jc w:val="center"/>
              <w:rPr>
                <w:rFonts w:ascii="Arial" w:hAnsi="Arial" w:cs="Arial"/>
                <w:sz w:val="16"/>
                <w:szCs w:val="16"/>
              </w:rPr>
            </w:pPr>
          </w:p>
          <w:p w:rsidR="002C5798" w:rsidRPr="000F7A81" w:rsidRDefault="002C5798" w:rsidP="000F7A81">
            <w:pPr>
              <w:jc w:val="center"/>
              <w:rPr>
                <w:rFonts w:ascii="Arial" w:hAnsi="Arial" w:cs="Arial"/>
                <w:sz w:val="16"/>
                <w:szCs w:val="16"/>
              </w:rPr>
            </w:pPr>
            <w:r w:rsidRPr="000F7A81">
              <w:rPr>
                <w:rFonts w:ascii="Arial" w:hAnsi="Arial" w:cs="Arial"/>
                <w:sz w:val="16"/>
                <w:szCs w:val="16"/>
              </w:rPr>
              <w:t>2 dakika</w:t>
            </w:r>
          </w:p>
        </w:tc>
        <w:tc>
          <w:tcPr>
            <w:tcW w:w="1132" w:type="dxa"/>
            <w:vAlign w:val="center"/>
          </w:tcPr>
          <w:p w:rsidR="002C5798" w:rsidRPr="000F7A81" w:rsidRDefault="002C5798" w:rsidP="000F7A81">
            <w:pPr>
              <w:jc w:val="center"/>
              <w:rPr>
                <w:rFonts w:ascii="Arial" w:hAnsi="Arial" w:cs="Arial"/>
                <w:sz w:val="16"/>
                <w:szCs w:val="16"/>
              </w:rPr>
            </w:pPr>
          </w:p>
          <w:p w:rsidR="00BC037C" w:rsidRPr="000F7A81" w:rsidRDefault="002C5798" w:rsidP="000F7A81">
            <w:pPr>
              <w:jc w:val="center"/>
              <w:rPr>
                <w:rFonts w:ascii="Arial" w:hAnsi="Arial" w:cs="Arial"/>
                <w:sz w:val="16"/>
                <w:szCs w:val="16"/>
              </w:rPr>
            </w:pPr>
            <w:r w:rsidRPr="000F7A81">
              <w:rPr>
                <w:rFonts w:ascii="Arial" w:hAnsi="Arial" w:cs="Arial"/>
                <w:sz w:val="16"/>
                <w:szCs w:val="16"/>
              </w:rPr>
              <w:t>2 dakika</w:t>
            </w:r>
          </w:p>
        </w:tc>
        <w:tc>
          <w:tcPr>
            <w:tcW w:w="1132" w:type="dxa"/>
            <w:vAlign w:val="center"/>
          </w:tcPr>
          <w:p w:rsidR="00BC037C" w:rsidRPr="000F7A81" w:rsidRDefault="00BC037C" w:rsidP="000F7A81">
            <w:pPr>
              <w:jc w:val="center"/>
              <w:rPr>
                <w:rFonts w:ascii="Arial" w:hAnsi="Arial" w:cs="Arial"/>
                <w:sz w:val="16"/>
                <w:szCs w:val="16"/>
              </w:rPr>
            </w:pPr>
            <w:r w:rsidRPr="000F7A81">
              <w:rPr>
                <w:rFonts w:ascii="Arial" w:hAnsi="Arial" w:cs="Arial"/>
                <w:sz w:val="16"/>
                <w:szCs w:val="16"/>
              </w:rPr>
              <w:t>-</w:t>
            </w:r>
          </w:p>
        </w:tc>
        <w:tc>
          <w:tcPr>
            <w:tcW w:w="1307" w:type="dxa"/>
            <w:vAlign w:val="center"/>
          </w:tcPr>
          <w:p w:rsidR="00BC037C" w:rsidRPr="000F7A81" w:rsidRDefault="00BC037C" w:rsidP="000F7A81">
            <w:pPr>
              <w:jc w:val="center"/>
              <w:rPr>
                <w:rFonts w:ascii="Arial" w:hAnsi="Arial" w:cs="Arial"/>
                <w:sz w:val="16"/>
                <w:szCs w:val="16"/>
              </w:rPr>
            </w:pPr>
            <w:r w:rsidRPr="000F7A81">
              <w:rPr>
                <w:rFonts w:ascii="Arial" w:hAnsi="Arial" w:cs="Arial"/>
                <w:sz w:val="16"/>
                <w:szCs w:val="16"/>
              </w:rPr>
              <w:t>-</w:t>
            </w:r>
          </w:p>
        </w:tc>
      </w:tr>
      <w:tr w:rsidR="002C5798" w:rsidRPr="000F7A81" w:rsidTr="00BC037C">
        <w:tc>
          <w:tcPr>
            <w:tcW w:w="1533" w:type="dxa"/>
          </w:tcPr>
          <w:p w:rsidR="002C5798" w:rsidRPr="000F7A81" w:rsidRDefault="002C5798" w:rsidP="000F7A81">
            <w:pPr>
              <w:jc w:val="both"/>
              <w:rPr>
                <w:rFonts w:ascii="Arial" w:hAnsi="Arial" w:cs="Arial"/>
                <w:b/>
                <w:sz w:val="16"/>
                <w:szCs w:val="16"/>
              </w:rPr>
            </w:pPr>
            <w:r w:rsidRPr="000F7A81">
              <w:rPr>
                <w:rFonts w:ascii="Arial" w:hAnsi="Arial" w:cs="Arial"/>
                <w:b/>
                <w:sz w:val="16"/>
                <w:szCs w:val="16"/>
              </w:rPr>
              <w:t>Tek Fiyat Emir Toplama Süresi Boyunca Bilgi Yayınının Kısıtlanması (*)</w:t>
            </w:r>
          </w:p>
        </w:tc>
        <w:tc>
          <w:tcPr>
            <w:tcW w:w="1132" w:type="dxa"/>
          </w:tcPr>
          <w:p w:rsidR="002C5798" w:rsidRPr="000F7A81" w:rsidRDefault="002C5798" w:rsidP="000F7A81">
            <w:pPr>
              <w:jc w:val="center"/>
              <w:rPr>
                <w:rFonts w:ascii="Arial" w:hAnsi="Arial" w:cs="Arial"/>
                <w:sz w:val="16"/>
                <w:szCs w:val="16"/>
              </w:rPr>
            </w:pPr>
          </w:p>
          <w:p w:rsidR="002C5798" w:rsidRPr="000F7A81" w:rsidRDefault="002C5798" w:rsidP="000F7A81">
            <w:pPr>
              <w:jc w:val="center"/>
              <w:rPr>
                <w:rFonts w:ascii="Arial" w:hAnsi="Arial" w:cs="Arial"/>
                <w:sz w:val="16"/>
                <w:szCs w:val="16"/>
              </w:rPr>
            </w:pPr>
          </w:p>
          <w:p w:rsidR="002C5798" w:rsidRPr="000F7A81" w:rsidRDefault="002C5798" w:rsidP="000F7A81">
            <w:pPr>
              <w:jc w:val="center"/>
              <w:rPr>
                <w:rFonts w:ascii="Arial" w:hAnsi="Arial" w:cs="Arial"/>
                <w:sz w:val="16"/>
                <w:szCs w:val="16"/>
              </w:rPr>
            </w:pPr>
            <w:r w:rsidRPr="000F7A81">
              <w:rPr>
                <w:rFonts w:ascii="Arial" w:hAnsi="Arial" w:cs="Arial"/>
                <w:sz w:val="16"/>
                <w:szCs w:val="16"/>
              </w:rPr>
              <w:t>YOK</w:t>
            </w:r>
          </w:p>
        </w:tc>
        <w:tc>
          <w:tcPr>
            <w:tcW w:w="1132" w:type="dxa"/>
          </w:tcPr>
          <w:p w:rsidR="002C5798" w:rsidRPr="000F7A81" w:rsidRDefault="002C5798" w:rsidP="000F7A81">
            <w:pPr>
              <w:jc w:val="center"/>
              <w:rPr>
                <w:rFonts w:ascii="Arial" w:hAnsi="Arial" w:cs="Arial"/>
                <w:sz w:val="16"/>
                <w:szCs w:val="16"/>
              </w:rPr>
            </w:pPr>
          </w:p>
          <w:p w:rsidR="002C5798" w:rsidRPr="000F7A81" w:rsidRDefault="002C5798" w:rsidP="000F7A81">
            <w:pPr>
              <w:jc w:val="center"/>
              <w:rPr>
                <w:rFonts w:ascii="Arial" w:hAnsi="Arial" w:cs="Arial"/>
                <w:sz w:val="16"/>
                <w:szCs w:val="16"/>
              </w:rPr>
            </w:pPr>
          </w:p>
          <w:p w:rsidR="002C5798" w:rsidRPr="000F7A81" w:rsidRDefault="002C5798" w:rsidP="000F7A81">
            <w:pPr>
              <w:jc w:val="center"/>
              <w:rPr>
                <w:rFonts w:ascii="Arial" w:hAnsi="Arial" w:cs="Arial"/>
                <w:sz w:val="16"/>
                <w:szCs w:val="16"/>
              </w:rPr>
            </w:pPr>
            <w:r w:rsidRPr="000F7A81">
              <w:rPr>
                <w:rFonts w:ascii="Arial" w:hAnsi="Arial" w:cs="Arial"/>
                <w:sz w:val="16"/>
                <w:szCs w:val="16"/>
              </w:rPr>
              <w:t>YOK</w:t>
            </w:r>
          </w:p>
        </w:tc>
        <w:tc>
          <w:tcPr>
            <w:tcW w:w="1132" w:type="dxa"/>
            <w:vAlign w:val="center"/>
          </w:tcPr>
          <w:p w:rsidR="002C5798" w:rsidRPr="000F7A81" w:rsidRDefault="002C5798" w:rsidP="000F7A81">
            <w:pPr>
              <w:jc w:val="center"/>
              <w:rPr>
                <w:rFonts w:ascii="Arial" w:hAnsi="Arial" w:cs="Arial"/>
                <w:sz w:val="16"/>
                <w:szCs w:val="16"/>
              </w:rPr>
            </w:pPr>
            <w:r w:rsidRPr="000F7A81">
              <w:rPr>
                <w:rFonts w:ascii="Arial" w:hAnsi="Arial" w:cs="Arial"/>
                <w:sz w:val="16"/>
                <w:szCs w:val="16"/>
              </w:rPr>
              <w:t>VAR</w:t>
            </w:r>
          </w:p>
        </w:tc>
        <w:tc>
          <w:tcPr>
            <w:tcW w:w="1132" w:type="dxa"/>
            <w:vAlign w:val="center"/>
          </w:tcPr>
          <w:p w:rsidR="002C5798" w:rsidRPr="000F7A81" w:rsidRDefault="002C5798" w:rsidP="000F7A81">
            <w:pPr>
              <w:jc w:val="center"/>
              <w:rPr>
                <w:rFonts w:ascii="Arial" w:hAnsi="Arial" w:cs="Arial"/>
                <w:sz w:val="16"/>
                <w:szCs w:val="16"/>
              </w:rPr>
            </w:pPr>
            <w:r w:rsidRPr="000F7A81">
              <w:rPr>
                <w:rFonts w:ascii="Arial" w:hAnsi="Arial" w:cs="Arial"/>
                <w:sz w:val="16"/>
                <w:szCs w:val="16"/>
              </w:rPr>
              <w:t>VAR</w:t>
            </w:r>
          </w:p>
        </w:tc>
        <w:tc>
          <w:tcPr>
            <w:tcW w:w="1307" w:type="dxa"/>
            <w:vAlign w:val="center"/>
          </w:tcPr>
          <w:p w:rsidR="002C5798" w:rsidRPr="000F7A81" w:rsidRDefault="002C5798" w:rsidP="000F7A81">
            <w:pPr>
              <w:jc w:val="center"/>
              <w:rPr>
                <w:rFonts w:ascii="Arial" w:hAnsi="Arial" w:cs="Arial"/>
                <w:sz w:val="16"/>
                <w:szCs w:val="16"/>
              </w:rPr>
            </w:pPr>
            <w:r w:rsidRPr="000F7A81">
              <w:rPr>
                <w:rFonts w:ascii="Arial" w:hAnsi="Arial" w:cs="Arial"/>
                <w:sz w:val="16"/>
                <w:szCs w:val="16"/>
              </w:rPr>
              <w:t>VAR</w:t>
            </w:r>
          </w:p>
        </w:tc>
      </w:tr>
      <w:tr w:rsidR="002C5798" w:rsidRPr="000F7A81" w:rsidTr="00BC2A15">
        <w:tc>
          <w:tcPr>
            <w:tcW w:w="1533" w:type="dxa"/>
          </w:tcPr>
          <w:p w:rsidR="002C5798" w:rsidRPr="000F7A81" w:rsidRDefault="002C5798" w:rsidP="000F7A81">
            <w:pPr>
              <w:jc w:val="both"/>
              <w:rPr>
                <w:rFonts w:ascii="Arial" w:hAnsi="Arial" w:cs="Arial"/>
                <w:b/>
                <w:sz w:val="16"/>
                <w:szCs w:val="16"/>
              </w:rPr>
            </w:pPr>
            <w:r w:rsidRPr="000F7A81">
              <w:rPr>
                <w:rFonts w:ascii="Arial" w:hAnsi="Arial" w:cs="Arial"/>
                <w:b/>
                <w:sz w:val="16"/>
                <w:szCs w:val="16"/>
              </w:rPr>
              <w:t>Açılış Seansında Son Dakikada Emir İptali (*)</w:t>
            </w:r>
          </w:p>
        </w:tc>
        <w:tc>
          <w:tcPr>
            <w:tcW w:w="1132" w:type="dxa"/>
          </w:tcPr>
          <w:p w:rsidR="002C5798" w:rsidRPr="000F7A81" w:rsidRDefault="002C5798" w:rsidP="000F7A81">
            <w:pPr>
              <w:jc w:val="center"/>
              <w:rPr>
                <w:rFonts w:ascii="Arial" w:hAnsi="Arial" w:cs="Arial"/>
                <w:sz w:val="16"/>
                <w:szCs w:val="16"/>
              </w:rPr>
            </w:pPr>
            <w:r w:rsidRPr="000F7A81">
              <w:rPr>
                <w:rFonts w:ascii="Arial" w:hAnsi="Arial" w:cs="Arial"/>
                <w:sz w:val="16"/>
                <w:szCs w:val="16"/>
              </w:rPr>
              <w:t>VAR</w:t>
            </w:r>
          </w:p>
        </w:tc>
        <w:tc>
          <w:tcPr>
            <w:tcW w:w="1132" w:type="dxa"/>
          </w:tcPr>
          <w:p w:rsidR="002C5798" w:rsidRPr="000F7A81" w:rsidRDefault="002C5798" w:rsidP="000F7A81">
            <w:pPr>
              <w:jc w:val="center"/>
              <w:rPr>
                <w:rFonts w:ascii="Arial" w:hAnsi="Arial" w:cs="Arial"/>
              </w:rPr>
            </w:pPr>
            <w:r w:rsidRPr="000F7A81">
              <w:rPr>
                <w:rFonts w:ascii="Arial" w:hAnsi="Arial" w:cs="Arial"/>
                <w:sz w:val="16"/>
                <w:szCs w:val="16"/>
              </w:rPr>
              <w:t>YOK</w:t>
            </w:r>
          </w:p>
        </w:tc>
        <w:tc>
          <w:tcPr>
            <w:tcW w:w="1132" w:type="dxa"/>
          </w:tcPr>
          <w:p w:rsidR="002C5798" w:rsidRPr="000F7A81" w:rsidRDefault="002C5798" w:rsidP="000F7A81">
            <w:pPr>
              <w:jc w:val="center"/>
              <w:rPr>
                <w:rFonts w:ascii="Arial" w:hAnsi="Arial" w:cs="Arial"/>
              </w:rPr>
            </w:pPr>
            <w:r w:rsidRPr="000F7A81">
              <w:rPr>
                <w:rFonts w:ascii="Arial" w:hAnsi="Arial" w:cs="Arial"/>
                <w:sz w:val="16"/>
                <w:szCs w:val="16"/>
              </w:rPr>
              <w:t>YOK</w:t>
            </w:r>
          </w:p>
        </w:tc>
        <w:tc>
          <w:tcPr>
            <w:tcW w:w="1132" w:type="dxa"/>
          </w:tcPr>
          <w:p w:rsidR="002C5798" w:rsidRPr="000F7A81" w:rsidRDefault="002C5798" w:rsidP="000F7A81">
            <w:pPr>
              <w:jc w:val="center"/>
              <w:rPr>
                <w:rFonts w:ascii="Arial" w:hAnsi="Arial" w:cs="Arial"/>
              </w:rPr>
            </w:pPr>
            <w:r w:rsidRPr="000F7A81">
              <w:rPr>
                <w:rFonts w:ascii="Arial" w:hAnsi="Arial" w:cs="Arial"/>
                <w:sz w:val="16"/>
                <w:szCs w:val="16"/>
              </w:rPr>
              <w:t>YOK</w:t>
            </w:r>
          </w:p>
        </w:tc>
        <w:tc>
          <w:tcPr>
            <w:tcW w:w="1307" w:type="dxa"/>
          </w:tcPr>
          <w:p w:rsidR="002C5798" w:rsidRPr="000F7A81" w:rsidRDefault="002C5798" w:rsidP="000F7A81">
            <w:pPr>
              <w:jc w:val="center"/>
              <w:rPr>
                <w:rFonts w:ascii="Arial" w:hAnsi="Arial" w:cs="Arial"/>
              </w:rPr>
            </w:pPr>
            <w:r w:rsidRPr="000F7A81">
              <w:rPr>
                <w:rFonts w:ascii="Arial" w:hAnsi="Arial" w:cs="Arial"/>
                <w:sz w:val="16"/>
                <w:szCs w:val="16"/>
              </w:rPr>
              <w:t>YOK</w:t>
            </w:r>
          </w:p>
        </w:tc>
      </w:tr>
      <w:tr w:rsidR="002C5798" w:rsidRPr="000F7A81" w:rsidTr="00477931">
        <w:tc>
          <w:tcPr>
            <w:tcW w:w="1533" w:type="dxa"/>
          </w:tcPr>
          <w:p w:rsidR="002C5798" w:rsidRPr="000F7A81" w:rsidRDefault="002C5798" w:rsidP="000F7A81">
            <w:pPr>
              <w:jc w:val="both"/>
              <w:rPr>
                <w:rFonts w:ascii="Arial" w:hAnsi="Arial" w:cs="Arial"/>
                <w:b/>
                <w:sz w:val="16"/>
                <w:szCs w:val="16"/>
              </w:rPr>
            </w:pPr>
            <w:r w:rsidRPr="000F7A81">
              <w:rPr>
                <w:rFonts w:ascii="Arial" w:hAnsi="Arial" w:cs="Arial"/>
                <w:b/>
                <w:sz w:val="16"/>
                <w:szCs w:val="16"/>
              </w:rPr>
              <w:t>Açılış Seansında Piyasa Emri (*)</w:t>
            </w:r>
          </w:p>
        </w:tc>
        <w:tc>
          <w:tcPr>
            <w:tcW w:w="1132" w:type="dxa"/>
          </w:tcPr>
          <w:p w:rsidR="002C5798" w:rsidRPr="000F7A81" w:rsidRDefault="002C5798" w:rsidP="000F7A81">
            <w:pPr>
              <w:jc w:val="center"/>
              <w:rPr>
                <w:rFonts w:ascii="Arial" w:hAnsi="Arial" w:cs="Arial"/>
                <w:sz w:val="16"/>
                <w:szCs w:val="16"/>
              </w:rPr>
            </w:pPr>
            <w:r w:rsidRPr="000F7A81">
              <w:rPr>
                <w:rFonts w:ascii="Arial" w:hAnsi="Arial" w:cs="Arial"/>
                <w:sz w:val="16"/>
                <w:szCs w:val="16"/>
              </w:rPr>
              <w:t>VAR</w:t>
            </w:r>
          </w:p>
        </w:tc>
        <w:tc>
          <w:tcPr>
            <w:tcW w:w="1132" w:type="dxa"/>
          </w:tcPr>
          <w:p w:rsidR="002C5798" w:rsidRPr="000F7A81" w:rsidRDefault="002C5798" w:rsidP="000F7A81">
            <w:pPr>
              <w:jc w:val="center"/>
              <w:rPr>
                <w:rFonts w:ascii="Arial" w:hAnsi="Arial" w:cs="Arial"/>
              </w:rPr>
            </w:pPr>
            <w:r w:rsidRPr="000F7A81">
              <w:rPr>
                <w:rFonts w:ascii="Arial" w:hAnsi="Arial" w:cs="Arial"/>
                <w:sz w:val="16"/>
                <w:szCs w:val="16"/>
              </w:rPr>
              <w:t>YOK</w:t>
            </w:r>
          </w:p>
        </w:tc>
        <w:tc>
          <w:tcPr>
            <w:tcW w:w="1132" w:type="dxa"/>
          </w:tcPr>
          <w:p w:rsidR="002C5798" w:rsidRPr="000F7A81" w:rsidRDefault="002C5798" w:rsidP="000F7A81">
            <w:pPr>
              <w:jc w:val="center"/>
              <w:rPr>
                <w:rFonts w:ascii="Arial" w:hAnsi="Arial" w:cs="Arial"/>
              </w:rPr>
            </w:pPr>
            <w:r w:rsidRPr="000F7A81">
              <w:rPr>
                <w:rFonts w:ascii="Arial" w:hAnsi="Arial" w:cs="Arial"/>
                <w:sz w:val="16"/>
                <w:szCs w:val="16"/>
              </w:rPr>
              <w:t>YOK</w:t>
            </w:r>
          </w:p>
        </w:tc>
        <w:tc>
          <w:tcPr>
            <w:tcW w:w="1132" w:type="dxa"/>
          </w:tcPr>
          <w:p w:rsidR="002C5798" w:rsidRPr="000F7A81" w:rsidRDefault="002C5798" w:rsidP="000F7A81">
            <w:pPr>
              <w:jc w:val="center"/>
              <w:rPr>
                <w:rFonts w:ascii="Arial" w:hAnsi="Arial" w:cs="Arial"/>
              </w:rPr>
            </w:pPr>
            <w:r w:rsidRPr="000F7A81">
              <w:rPr>
                <w:rFonts w:ascii="Arial" w:hAnsi="Arial" w:cs="Arial"/>
                <w:sz w:val="16"/>
                <w:szCs w:val="16"/>
              </w:rPr>
              <w:t>YOK</w:t>
            </w:r>
          </w:p>
        </w:tc>
        <w:tc>
          <w:tcPr>
            <w:tcW w:w="1307" w:type="dxa"/>
          </w:tcPr>
          <w:p w:rsidR="002C5798" w:rsidRPr="000F7A81" w:rsidRDefault="002C5798" w:rsidP="000F7A81">
            <w:pPr>
              <w:jc w:val="center"/>
              <w:rPr>
                <w:rFonts w:ascii="Arial" w:hAnsi="Arial" w:cs="Arial"/>
              </w:rPr>
            </w:pPr>
            <w:r w:rsidRPr="000F7A81">
              <w:rPr>
                <w:rFonts w:ascii="Arial" w:hAnsi="Arial" w:cs="Arial"/>
                <w:sz w:val="16"/>
                <w:szCs w:val="16"/>
              </w:rPr>
              <w:t>YOK</w:t>
            </w:r>
          </w:p>
        </w:tc>
      </w:tr>
    </w:tbl>
    <w:p w:rsidR="000A3779" w:rsidRPr="000F7A81" w:rsidRDefault="000A3779" w:rsidP="000F7A81">
      <w:pPr>
        <w:tabs>
          <w:tab w:val="left" w:pos="1620"/>
        </w:tabs>
        <w:jc w:val="both"/>
        <w:rPr>
          <w:rFonts w:ascii="Arial" w:hAnsi="Arial" w:cs="Arial"/>
          <w:b/>
          <w:u w:val="single"/>
        </w:rPr>
      </w:pPr>
    </w:p>
    <w:p w:rsidR="002C5798" w:rsidRPr="000F7A81" w:rsidRDefault="002C5798" w:rsidP="000F7A81">
      <w:pPr>
        <w:tabs>
          <w:tab w:val="left" w:pos="1620"/>
        </w:tabs>
        <w:jc w:val="both"/>
        <w:rPr>
          <w:rFonts w:ascii="Arial" w:hAnsi="Arial" w:cs="Arial"/>
        </w:rPr>
      </w:pPr>
      <w:r w:rsidRPr="000F7A81">
        <w:rPr>
          <w:rFonts w:ascii="Arial" w:hAnsi="Arial" w:cs="Arial"/>
        </w:rPr>
        <w:t xml:space="preserve">(*) Yeni işlem kurallarına göre oluşturulacak yeni seans bölümleri ve seans akışları “connect.borsaistanbul.com” adresinden ulaşılabilecektir. </w:t>
      </w:r>
    </w:p>
    <w:p w:rsidR="002C5798" w:rsidRPr="000F7A81" w:rsidRDefault="002C5798" w:rsidP="000F7A81">
      <w:pPr>
        <w:tabs>
          <w:tab w:val="left" w:pos="1620"/>
        </w:tabs>
        <w:jc w:val="both"/>
        <w:rPr>
          <w:rFonts w:ascii="Arial" w:hAnsi="Arial" w:cs="Arial"/>
        </w:rPr>
      </w:pPr>
      <w:r w:rsidRPr="000F7A81">
        <w:rPr>
          <w:rFonts w:ascii="Arial" w:hAnsi="Arial" w:cs="Arial"/>
        </w:rPr>
        <w:t xml:space="preserve">Yukarıda belirtilen işlem esasları genel kurallar olup;  2020/20, 2020/21 ve 2020/50 sayılı duyurularda ve SPK kararlarında yer alan; </w:t>
      </w:r>
    </w:p>
    <w:p w:rsidR="002C5798" w:rsidRPr="000F7A81" w:rsidRDefault="002C5798" w:rsidP="000F7A81">
      <w:pPr>
        <w:tabs>
          <w:tab w:val="left" w:pos="1620"/>
        </w:tabs>
        <w:jc w:val="both"/>
        <w:rPr>
          <w:rFonts w:ascii="Arial" w:hAnsi="Arial" w:cs="Arial"/>
        </w:rPr>
      </w:pPr>
      <w:r w:rsidRPr="000F7A81">
        <w:rPr>
          <w:rFonts w:ascii="Arial" w:hAnsi="Arial" w:cs="Arial"/>
        </w:rPr>
        <w:sym w:font="Symbol" w:char="F0B7"/>
      </w:r>
      <w:r w:rsidRPr="000F7A81">
        <w:rPr>
          <w:rFonts w:ascii="Arial" w:hAnsi="Arial" w:cs="Arial"/>
        </w:rPr>
        <w:t xml:space="preserve"> Açığa satışın BIST 30 payları ile sınırlandırılmış olması, </w:t>
      </w:r>
    </w:p>
    <w:p w:rsidR="002C5798" w:rsidRPr="000F7A81" w:rsidRDefault="002C5798" w:rsidP="000F7A81">
      <w:pPr>
        <w:tabs>
          <w:tab w:val="left" w:pos="1620"/>
        </w:tabs>
        <w:jc w:val="both"/>
        <w:rPr>
          <w:rFonts w:ascii="Arial" w:hAnsi="Arial" w:cs="Arial"/>
        </w:rPr>
      </w:pPr>
      <w:r w:rsidRPr="000F7A81">
        <w:rPr>
          <w:rFonts w:ascii="Arial" w:hAnsi="Arial" w:cs="Arial"/>
        </w:rPr>
        <w:sym w:font="Symbol" w:char="F0B7"/>
      </w:r>
      <w:r w:rsidRPr="000F7A81">
        <w:rPr>
          <w:rFonts w:ascii="Arial" w:hAnsi="Arial" w:cs="Arial"/>
        </w:rPr>
        <w:t xml:space="preserve"> Yıldız Pazar’da, Ana Pazar’da ve borsa yatırım fonlarında, gayrimenkul sertifikalarında, gayrimenkul yatırım fonlarında ve girişim sermayesi yatırım fonlarında uygulanmakta olan fiyat marjının %10 olması, </w:t>
      </w:r>
    </w:p>
    <w:p w:rsidR="002C5798" w:rsidRPr="000F7A81" w:rsidRDefault="002C5798" w:rsidP="000F7A81">
      <w:pPr>
        <w:tabs>
          <w:tab w:val="left" w:pos="1620"/>
        </w:tabs>
        <w:jc w:val="both"/>
        <w:rPr>
          <w:rFonts w:ascii="Arial" w:hAnsi="Arial" w:cs="Arial"/>
        </w:rPr>
      </w:pPr>
      <w:r w:rsidRPr="000F7A81">
        <w:rPr>
          <w:rFonts w:ascii="Arial" w:hAnsi="Arial" w:cs="Arial"/>
        </w:rPr>
        <w:sym w:font="Symbol" w:char="F0B7"/>
      </w:r>
      <w:r w:rsidRPr="000F7A81">
        <w:rPr>
          <w:rFonts w:ascii="Arial" w:hAnsi="Arial" w:cs="Arial"/>
        </w:rPr>
        <w:t xml:space="preserve"> Pay bazında devre kesici tetikleme oranının tüm paylarda sadece aşağı yönlü ve %5 olması, </w:t>
      </w:r>
    </w:p>
    <w:p w:rsidR="002C5798" w:rsidRPr="000F7A81" w:rsidRDefault="002C5798" w:rsidP="000F7A81">
      <w:pPr>
        <w:tabs>
          <w:tab w:val="left" w:pos="1620"/>
        </w:tabs>
        <w:jc w:val="both"/>
        <w:rPr>
          <w:rFonts w:ascii="Arial" w:hAnsi="Arial" w:cs="Arial"/>
        </w:rPr>
      </w:pPr>
      <w:r w:rsidRPr="000F7A81">
        <w:rPr>
          <w:rFonts w:ascii="Arial" w:hAnsi="Arial" w:cs="Arial"/>
        </w:rPr>
        <w:sym w:font="Symbol" w:char="F0B7"/>
      </w:r>
      <w:r w:rsidRPr="000F7A81">
        <w:rPr>
          <w:rFonts w:ascii="Arial" w:hAnsi="Arial" w:cs="Arial"/>
        </w:rPr>
        <w:t xml:space="preserve"> Pay bazında devre kesici sonrası emir toplama süresinin 15 dakika olması </w:t>
      </w:r>
    </w:p>
    <w:p w:rsidR="00904638" w:rsidRPr="000F7A81" w:rsidRDefault="002C5798" w:rsidP="000F7A81">
      <w:pPr>
        <w:tabs>
          <w:tab w:val="left" w:pos="1620"/>
        </w:tabs>
        <w:jc w:val="both"/>
        <w:rPr>
          <w:rFonts w:ascii="Arial" w:hAnsi="Arial" w:cs="Arial"/>
        </w:rPr>
      </w:pPr>
      <w:r w:rsidRPr="000F7A81">
        <w:rPr>
          <w:rFonts w:ascii="Arial" w:hAnsi="Arial" w:cs="Arial"/>
        </w:rPr>
        <w:t>uygulamaları devam etmektedir.</w:t>
      </w:r>
    </w:p>
    <w:p w:rsidR="00604DAE" w:rsidRPr="000F7A81" w:rsidRDefault="00604DAE" w:rsidP="000F7A81">
      <w:pPr>
        <w:tabs>
          <w:tab w:val="left" w:pos="1620"/>
        </w:tabs>
        <w:jc w:val="both"/>
        <w:rPr>
          <w:rFonts w:ascii="Arial" w:hAnsi="Arial" w:cs="Arial"/>
        </w:rPr>
      </w:pPr>
      <w:r w:rsidRPr="000F7A81">
        <w:rPr>
          <w:rFonts w:ascii="Arial" w:hAnsi="Arial" w:cs="Arial"/>
        </w:rPr>
        <w:t>Pay Piyasası Yönergesi’nde Pazar belirleme kriterleri aşağıdaki şekilde düzenlenmiştir.</w:t>
      </w:r>
    </w:p>
    <w:p w:rsidR="000A3779" w:rsidRPr="000F7A81" w:rsidRDefault="000A3779" w:rsidP="000F7A81">
      <w:pPr>
        <w:tabs>
          <w:tab w:val="left" w:pos="1620"/>
        </w:tabs>
        <w:jc w:val="both"/>
        <w:rPr>
          <w:rFonts w:ascii="Arial" w:hAnsi="Arial" w:cs="Arial"/>
          <w:b/>
          <w:u w:val="single"/>
        </w:rPr>
      </w:pPr>
      <w:r w:rsidRPr="000F7A81">
        <w:rPr>
          <w:rFonts w:ascii="Arial" w:hAnsi="Arial" w:cs="Arial"/>
          <w:b/>
          <w:u w:val="single"/>
        </w:rPr>
        <w:t>Değerlendirme Kriterleri</w:t>
      </w:r>
    </w:p>
    <w:tbl>
      <w:tblPr>
        <w:tblStyle w:val="TabloKlavuzu"/>
        <w:tblW w:w="7286" w:type="dxa"/>
        <w:tblInd w:w="108" w:type="dxa"/>
        <w:tblLook w:val="04A0" w:firstRow="1" w:lastRow="0" w:firstColumn="1" w:lastColumn="0" w:noHBand="0" w:noVBand="1"/>
      </w:tblPr>
      <w:tblGrid>
        <w:gridCol w:w="2422"/>
        <w:gridCol w:w="2742"/>
        <w:gridCol w:w="2122"/>
      </w:tblGrid>
      <w:tr w:rsidR="00604DAE" w:rsidRPr="000F7A81" w:rsidTr="00604DAE">
        <w:tc>
          <w:tcPr>
            <w:tcW w:w="2422" w:type="dxa"/>
            <w:vMerge w:val="restart"/>
            <w:hideMark/>
          </w:tcPr>
          <w:p w:rsidR="00604DAE" w:rsidRPr="000F7A81" w:rsidRDefault="00604DAE" w:rsidP="000F7A81">
            <w:pPr>
              <w:spacing w:line="253" w:lineRule="atLeast"/>
              <w:jc w:val="both"/>
              <w:rPr>
                <w:rFonts w:ascii="Arial" w:eastAsia="Times New Roman" w:hAnsi="Arial" w:cs="Arial"/>
                <w:sz w:val="16"/>
                <w:szCs w:val="16"/>
                <w:lang w:eastAsia="tr-TR"/>
              </w:rPr>
            </w:pPr>
            <w:r w:rsidRPr="000F7A81">
              <w:rPr>
                <w:rFonts w:ascii="Arial" w:eastAsia="Times New Roman" w:hAnsi="Arial" w:cs="Arial"/>
                <w:b/>
                <w:bCs/>
                <w:sz w:val="16"/>
                <w:szCs w:val="16"/>
                <w:bdr w:val="none" w:sz="0" w:space="0" w:color="auto" w:frame="1"/>
                <w:lang w:eastAsia="tr-TR"/>
              </w:rPr>
              <w:t>Pazarlar ve Gruplarda İşlem Görme Kriterleri</w:t>
            </w:r>
          </w:p>
        </w:tc>
        <w:tc>
          <w:tcPr>
            <w:tcW w:w="2742" w:type="dxa"/>
            <w:tcBorders>
              <w:bottom w:val="nil"/>
            </w:tcBorders>
            <w:hideMark/>
          </w:tcPr>
          <w:p w:rsidR="00604DAE" w:rsidRPr="000F7A81" w:rsidRDefault="00604DAE" w:rsidP="000F7A81">
            <w:pPr>
              <w:spacing w:line="253" w:lineRule="atLeast"/>
              <w:jc w:val="both"/>
              <w:rPr>
                <w:rFonts w:ascii="Arial" w:eastAsia="Times New Roman" w:hAnsi="Arial" w:cs="Arial"/>
                <w:sz w:val="16"/>
                <w:szCs w:val="16"/>
                <w:lang w:eastAsia="tr-TR"/>
              </w:rPr>
            </w:pPr>
            <w:r w:rsidRPr="000F7A81">
              <w:rPr>
                <w:rFonts w:ascii="Arial" w:eastAsia="Times New Roman" w:hAnsi="Arial" w:cs="Arial"/>
                <w:b/>
                <w:bCs/>
                <w:sz w:val="16"/>
                <w:szCs w:val="16"/>
                <w:bdr w:val="none" w:sz="0" w:space="0" w:color="auto" w:frame="1"/>
                <w:lang w:eastAsia="tr-TR"/>
              </w:rPr>
              <w:t>YILDIZ PAZAR</w:t>
            </w:r>
          </w:p>
        </w:tc>
        <w:tc>
          <w:tcPr>
            <w:tcW w:w="2122" w:type="dxa"/>
            <w:tcBorders>
              <w:bottom w:val="nil"/>
            </w:tcBorders>
            <w:hideMark/>
          </w:tcPr>
          <w:p w:rsidR="00604DAE" w:rsidRPr="000F7A81" w:rsidRDefault="00604DAE" w:rsidP="000F7A81">
            <w:pPr>
              <w:spacing w:line="253" w:lineRule="atLeast"/>
              <w:jc w:val="both"/>
              <w:rPr>
                <w:rFonts w:ascii="Arial" w:eastAsia="Times New Roman" w:hAnsi="Arial" w:cs="Arial"/>
                <w:sz w:val="16"/>
                <w:szCs w:val="16"/>
                <w:lang w:eastAsia="tr-TR"/>
              </w:rPr>
            </w:pPr>
            <w:r w:rsidRPr="000F7A81">
              <w:rPr>
                <w:rFonts w:ascii="Arial" w:eastAsia="Times New Roman" w:hAnsi="Arial" w:cs="Arial"/>
                <w:b/>
                <w:bCs/>
                <w:sz w:val="16"/>
                <w:szCs w:val="16"/>
                <w:bdr w:val="none" w:sz="0" w:space="0" w:color="auto" w:frame="1"/>
                <w:lang w:eastAsia="tr-TR"/>
              </w:rPr>
              <w:t>ANA PAZAR</w:t>
            </w:r>
          </w:p>
        </w:tc>
      </w:tr>
      <w:tr w:rsidR="00604DAE" w:rsidRPr="000F7A81" w:rsidTr="000F7A81">
        <w:trPr>
          <w:trHeight w:val="500"/>
        </w:trPr>
        <w:tc>
          <w:tcPr>
            <w:tcW w:w="2422" w:type="dxa"/>
            <w:vMerge/>
            <w:hideMark/>
          </w:tcPr>
          <w:p w:rsidR="00604DAE" w:rsidRPr="000F7A81" w:rsidRDefault="00604DAE" w:rsidP="000F7A81">
            <w:pPr>
              <w:jc w:val="both"/>
              <w:rPr>
                <w:rFonts w:ascii="Arial" w:eastAsia="Times New Roman" w:hAnsi="Arial" w:cs="Arial"/>
                <w:sz w:val="16"/>
                <w:szCs w:val="16"/>
                <w:lang w:eastAsia="tr-TR"/>
              </w:rPr>
            </w:pPr>
          </w:p>
        </w:tc>
        <w:tc>
          <w:tcPr>
            <w:tcW w:w="2742" w:type="dxa"/>
            <w:tcBorders>
              <w:top w:val="nil"/>
            </w:tcBorders>
          </w:tcPr>
          <w:p w:rsidR="00604DAE" w:rsidRPr="000F7A81" w:rsidRDefault="00604DAE" w:rsidP="000F7A81">
            <w:pPr>
              <w:jc w:val="both"/>
              <w:rPr>
                <w:rFonts w:ascii="Arial" w:eastAsia="Times New Roman" w:hAnsi="Arial" w:cs="Arial"/>
                <w:sz w:val="16"/>
                <w:szCs w:val="16"/>
                <w:lang w:eastAsia="tr-TR"/>
              </w:rPr>
            </w:pPr>
          </w:p>
        </w:tc>
        <w:tc>
          <w:tcPr>
            <w:tcW w:w="2122" w:type="dxa"/>
            <w:tcBorders>
              <w:top w:val="nil"/>
            </w:tcBorders>
          </w:tcPr>
          <w:p w:rsidR="00604DAE" w:rsidRPr="000F7A81" w:rsidRDefault="00604DAE" w:rsidP="000F7A81">
            <w:pPr>
              <w:jc w:val="both"/>
              <w:rPr>
                <w:rFonts w:ascii="Arial" w:eastAsia="Times New Roman" w:hAnsi="Arial" w:cs="Arial"/>
                <w:sz w:val="16"/>
                <w:szCs w:val="16"/>
                <w:lang w:eastAsia="tr-TR"/>
              </w:rPr>
            </w:pPr>
          </w:p>
        </w:tc>
      </w:tr>
      <w:tr w:rsidR="00604DAE" w:rsidRPr="000F7A81" w:rsidTr="000F7A81">
        <w:trPr>
          <w:trHeight w:val="549"/>
        </w:trPr>
        <w:tc>
          <w:tcPr>
            <w:tcW w:w="2422" w:type="dxa"/>
            <w:hideMark/>
          </w:tcPr>
          <w:p w:rsidR="00604DAE" w:rsidRPr="000F7A81" w:rsidRDefault="00604DAE" w:rsidP="000F7A81">
            <w:pPr>
              <w:jc w:val="both"/>
              <w:rPr>
                <w:rFonts w:ascii="Arial" w:eastAsia="Times New Roman" w:hAnsi="Arial" w:cs="Arial"/>
                <w:sz w:val="16"/>
                <w:szCs w:val="16"/>
                <w:lang w:eastAsia="tr-TR"/>
              </w:rPr>
            </w:pPr>
            <w:r w:rsidRPr="000F7A81">
              <w:rPr>
                <w:rFonts w:ascii="Arial" w:eastAsia="Times New Roman" w:hAnsi="Arial" w:cs="Arial"/>
                <w:b/>
                <w:bCs/>
                <w:sz w:val="16"/>
                <w:szCs w:val="16"/>
                <w:bdr w:val="none" w:sz="0" w:space="0" w:color="auto" w:frame="1"/>
                <w:lang w:eastAsia="tr-TR"/>
              </w:rPr>
              <w:t>Piyasa Değeri (PD)</w:t>
            </w:r>
          </w:p>
        </w:tc>
        <w:tc>
          <w:tcPr>
            <w:tcW w:w="2742" w:type="dxa"/>
            <w:hideMark/>
          </w:tcPr>
          <w:p w:rsidR="00604DAE" w:rsidRPr="000F7A81" w:rsidRDefault="00604DAE" w:rsidP="000F7A81">
            <w:pPr>
              <w:spacing w:after="270"/>
              <w:jc w:val="both"/>
              <w:rPr>
                <w:rFonts w:ascii="Arial" w:eastAsia="Times New Roman" w:hAnsi="Arial" w:cs="Arial"/>
                <w:sz w:val="18"/>
                <w:szCs w:val="18"/>
                <w:lang w:eastAsia="tr-TR"/>
              </w:rPr>
            </w:pPr>
            <w:r w:rsidRPr="000F7A81">
              <w:rPr>
                <w:rFonts w:ascii="Arial" w:eastAsia="Times New Roman" w:hAnsi="Arial" w:cs="Arial"/>
                <w:sz w:val="18"/>
                <w:szCs w:val="18"/>
                <w:lang w:eastAsia="tr-TR"/>
              </w:rPr>
              <w:t>&gt;500 milyon TL</w:t>
            </w:r>
          </w:p>
        </w:tc>
        <w:tc>
          <w:tcPr>
            <w:tcW w:w="2122" w:type="dxa"/>
            <w:hideMark/>
          </w:tcPr>
          <w:p w:rsidR="00604DAE" w:rsidRPr="000F7A81" w:rsidRDefault="00604DAE" w:rsidP="000F7A81">
            <w:pPr>
              <w:spacing w:after="270"/>
              <w:jc w:val="both"/>
              <w:rPr>
                <w:rFonts w:ascii="Arial" w:eastAsia="Times New Roman" w:hAnsi="Arial" w:cs="Arial"/>
                <w:sz w:val="18"/>
                <w:szCs w:val="18"/>
                <w:lang w:eastAsia="tr-TR"/>
              </w:rPr>
            </w:pPr>
            <w:r w:rsidRPr="000F7A81">
              <w:rPr>
                <w:rFonts w:ascii="Arial" w:eastAsia="Times New Roman" w:hAnsi="Arial" w:cs="Arial"/>
                <w:sz w:val="18"/>
                <w:szCs w:val="18"/>
                <w:lang w:eastAsia="tr-TR"/>
              </w:rPr>
              <w:t>&gt;60 milyon TL</w:t>
            </w:r>
          </w:p>
        </w:tc>
      </w:tr>
      <w:tr w:rsidR="00604DAE" w:rsidRPr="000F7A81" w:rsidTr="000F7A81">
        <w:trPr>
          <w:trHeight w:val="699"/>
        </w:trPr>
        <w:tc>
          <w:tcPr>
            <w:tcW w:w="2422" w:type="dxa"/>
            <w:hideMark/>
          </w:tcPr>
          <w:p w:rsidR="00604DAE" w:rsidRPr="000F7A81" w:rsidRDefault="00604DAE" w:rsidP="000F7A81">
            <w:pPr>
              <w:jc w:val="both"/>
              <w:rPr>
                <w:rFonts w:ascii="Arial" w:eastAsia="Times New Roman" w:hAnsi="Arial" w:cs="Arial"/>
                <w:sz w:val="16"/>
                <w:szCs w:val="16"/>
                <w:lang w:eastAsia="tr-TR"/>
              </w:rPr>
            </w:pPr>
            <w:r w:rsidRPr="000F7A81">
              <w:rPr>
                <w:rFonts w:ascii="Arial" w:eastAsia="Times New Roman" w:hAnsi="Arial" w:cs="Arial"/>
                <w:b/>
                <w:bCs/>
                <w:sz w:val="16"/>
                <w:szCs w:val="16"/>
                <w:bdr w:val="none" w:sz="0" w:space="0" w:color="auto" w:frame="1"/>
                <w:lang w:eastAsia="tr-TR"/>
              </w:rPr>
              <w:t>Fiili Dolaşımdaki Payların Piyasa Değeri (FDPD)</w:t>
            </w:r>
          </w:p>
        </w:tc>
        <w:tc>
          <w:tcPr>
            <w:tcW w:w="2742" w:type="dxa"/>
            <w:hideMark/>
          </w:tcPr>
          <w:p w:rsidR="00604DAE" w:rsidRPr="000F7A81" w:rsidRDefault="00604DAE" w:rsidP="000F7A81">
            <w:pPr>
              <w:spacing w:after="270"/>
              <w:jc w:val="both"/>
              <w:rPr>
                <w:rFonts w:ascii="Arial" w:eastAsia="Times New Roman" w:hAnsi="Arial" w:cs="Arial"/>
                <w:sz w:val="18"/>
                <w:szCs w:val="18"/>
                <w:lang w:eastAsia="tr-TR"/>
              </w:rPr>
            </w:pPr>
            <w:r w:rsidRPr="000F7A81">
              <w:rPr>
                <w:rFonts w:ascii="Arial" w:eastAsia="Times New Roman" w:hAnsi="Arial" w:cs="Arial"/>
                <w:sz w:val="18"/>
                <w:szCs w:val="18"/>
                <w:lang w:eastAsia="tr-TR"/>
              </w:rPr>
              <w:t>&gt; 100 milyon TL</w:t>
            </w:r>
          </w:p>
        </w:tc>
        <w:tc>
          <w:tcPr>
            <w:tcW w:w="2122" w:type="dxa"/>
            <w:hideMark/>
          </w:tcPr>
          <w:p w:rsidR="00604DAE" w:rsidRPr="000F7A81" w:rsidRDefault="00604DAE" w:rsidP="000F7A81">
            <w:pPr>
              <w:spacing w:after="270"/>
              <w:jc w:val="both"/>
              <w:rPr>
                <w:rFonts w:ascii="Arial" w:eastAsia="Times New Roman" w:hAnsi="Arial" w:cs="Arial"/>
                <w:sz w:val="18"/>
                <w:szCs w:val="18"/>
                <w:lang w:eastAsia="tr-TR"/>
              </w:rPr>
            </w:pPr>
            <w:r w:rsidRPr="000F7A81">
              <w:rPr>
                <w:rFonts w:ascii="Arial" w:eastAsia="Times New Roman" w:hAnsi="Arial" w:cs="Arial"/>
                <w:sz w:val="18"/>
                <w:szCs w:val="18"/>
                <w:lang w:eastAsia="tr-TR"/>
              </w:rPr>
              <w:t>&gt;30 milyon TL</w:t>
            </w:r>
          </w:p>
        </w:tc>
      </w:tr>
      <w:tr w:rsidR="00604DAE" w:rsidRPr="000F7A81" w:rsidTr="001F17D3">
        <w:tc>
          <w:tcPr>
            <w:tcW w:w="2422" w:type="dxa"/>
            <w:hideMark/>
          </w:tcPr>
          <w:p w:rsidR="00604DAE" w:rsidRPr="000F7A81" w:rsidRDefault="00604DAE" w:rsidP="000F7A81">
            <w:pPr>
              <w:jc w:val="both"/>
              <w:rPr>
                <w:rFonts w:ascii="Arial" w:eastAsia="Times New Roman" w:hAnsi="Arial" w:cs="Arial"/>
                <w:sz w:val="16"/>
                <w:szCs w:val="16"/>
                <w:lang w:eastAsia="tr-TR"/>
              </w:rPr>
            </w:pPr>
            <w:r w:rsidRPr="000F7A81">
              <w:rPr>
                <w:rFonts w:ascii="Arial" w:eastAsia="Times New Roman" w:hAnsi="Arial" w:cs="Arial"/>
                <w:b/>
                <w:bCs/>
                <w:sz w:val="16"/>
                <w:szCs w:val="16"/>
                <w:bdr w:val="none" w:sz="0" w:space="0" w:color="auto" w:frame="1"/>
                <w:lang w:eastAsia="tr-TR"/>
              </w:rPr>
              <w:t>Fiili Dolaşım Oranı (FDO)</w:t>
            </w:r>
          </w:p>
        </w:tc>
        <w:tc>
          <w:tcPr>
            <w:tcW w:w="2742" w:type="dxa"/>
            <w:hideMark/>
          </w:tcPr>
          <w:p w:rsidR="00604DAE" w:rsidRPr="000F7A81" w:rsidRDefault="00604DAE" w:rsidP="000F7A81">
            <w:pPr>
              <w:spacing w:after="270"/>
              <w:jc w:val="both"/>
              <w:rPr>
                <w:rFonts w:ascii="Arial" w:eastAsia="Times New Roman" w:hAnsi="Arial" w:cs="Arial"/>
                <w:sz w:val="18"/>
                <w:szCs w:val="18"/>
                <w:lang w:eastAsia="tr-TR"/>
              </w:rPr>
            </w:pPr>
            <w:r w:rsidRPr="000F7A81">
              <w:rPr>
                <w:rFonts w:ascii="Arial" w:eastAsia="Times New Roman" w:hAnsi="Arial" w:cs="Arial"/>
                <w:sz w:val="18"/>
                <w:szCs w:val="18"/>
                <w:lang w:eastAsia="tr-TR"/>
              </w:rPr>
              <w:t>&gt;%10</w:t>
            </w:r>
          </w:p>
        </w:tc>
        <w:tc>
          <w:tcPr>
            <w:tcW w:w="2122" w:type="dxa"/>
            <w:hideMark/>
          </w:tcPr>
          <w:p w:rsidR="00604DAE" w:rsidRPr="000F7A81" w:rsidRDefault="00604DAE" w:rsidP="000F7A81">
            <w:pPr>
              <w:spacing w:after="270"/>
              <w:jc w:val="both"/>
              <w:rPr>
                <w:rFonts w:ascii="Arial" w:eastAsia="Times New Roman" w:hAnsi="Arial" w:cs="Arial"/>
                <w:sz w:val="18"/>
                <w:szCs w:val="18"/>
                <w:lang w:eastAsia="tr-TR"/>
              </w:rPr>
            </w:pPr>
            <w:r w:rsidRPr="000F7A81">
              <w:rPr>
                <w:rFonts w:ascii="Arial" w:eastAsia="Times New Roman" w:hAnsi="Arial" w:cs="Arial"/>
                <w:sz w:val="18"/>
                <w:szCs w:val="18"/>
                <w:lang w:eastAsia="tr-TR"/>
              </w:rPr>
              <w:t>&gt;% 10</w:t>
            </w:r>
          </w:p>
        </w:tc>
      </w:tr>
      <w:tr w:rsidR="00604DAE" w:rsidRPr="000F7A81" w:rsidTr="00604DAE">
        <w:trPr>
          <w:trHeight w:val="304"/>
        </w:trPr>
        <w:tc>
          <w:tcPr>
            <w:tcW w:w="2422" w:type="dxa"/>
            <w:hideMark/>
          </w:tcPr>
          <w:p w:rsidR="00604DAE" w:rsidRPr="000F7A81" w:rsidRDefault="00604DAE" w:rsidP="000F7A81">
            <w:pPr>
              <w:jc w:val="both"/>
              <w:rPr>
                <w:rFonts w:ascii="Arial" w:eastAsia="Times New Roman" w:hAnsi="Arial" w:cs="Arial"/>
                <w:sz w:val="16"/>
                <w:szCs w:val="16"/>
                <w:lang w:eastAsia="tr-TR"/>
              </w:rPr>
            </w:pPr>
            <w:r w:rsidRPr="000F7A81">
              <w:rPr>
                <w:rFonts w:ascii="Arial" w:eastAsia="Times New Roman" w:hAnsi="Arial" w:cs="Arial"/>
                <w:b/>
                <w:bCs/>
                <w:sz w:val="16"/>
                <w:szCs w:val="16"/>
                <w:bdr w:val="none" w:sz="0" w:space="0" w:color="auto" w:frame="1"/>
                <w:lang w:eastAsia="tr-TR"/>
              </w:rPr>
              <w:t>Yerli Bireysel Yatırımcı Sayısı</w:t>
            </w:r>
          </w:p>
        </w:tc>
        <w:tc>
          <w:tcPr>
            <w:tcW w:w="2742" w:type="dxa"/>
            <w:hideMark/>
          </w:tcPr>
          <w:p w:rsidR="00604DAE" w:rsidRPr="000F7A81" w:rsidRDefault="00604DAE" w:rsidP="000F7A81">
            <w:pPr>
              <w:spacing w:after="270"/>
              <w:jc w:val="both"/>
              <w:rPr>
                <w:rFonts w:ascii="Arial" w:eastAsia="Times New Roman" w:hAnsi="Arial" w:cs="Arial"/>
                <w:sz w:val="18"/>
                <w:szCs w:val="18"/>
                <w:lang w:eastAsia="tr-TR"/>
              </w:rPr>
            </w:pPr>
            <w:r w:rsidRPr="000F7A81">
              <w:rPr>
                <w:rFonts w:ascii="Arial" w:eastAsia="Times New Roman" w:hAnsi="Arial" w:cs="Arial"/>
                <w:sz w:val="18"/>
                <w:szCs w:val="18"/>
                <w:lang w:eastAsia="tr-TR"/>
              </w:rPr>
              <w:t>&gt;1000</w:t>
            </w:r>
          </w:p>
        </w:tc>
        <w:tc>
          <w:tcPr>
            <w:tcW w:w="2122" w:type="dxa"/>
            <w:hideMark/>
          </w:tcPr>
          <w:p w:rsidR="00604DAE" w:rsidRPr="000F7A81" w:rsidRDefault="00604DAE" w:rsidP="000F7A81">
            <w:pPr>
              <w:spacing w:after="270"/>
              <w:jc w:val="both"/>
              <w:rPr>
                <w:rFonts w:ascii="Arial" w:eastAsia="Times New Roman" w:hAnsi="Arial" w:cs="Arial"/>
                <w:sz w:val="18"/>
                <w:szCs w:val="18"/>
                <w:lang w:eastAsia="tr-TR"/>
              </w:rPr>
            </w:pPr>
            <w:r w:rsidRPr="000F7A81">
              <w:rPr>
                <w:rFonts w:ascii="Arial" w:eastAsia="Times New Roman" w:hAnsi="Arial" w:cs="Arial"/>
                <w:sz w:val="18"/>
                <w:szCs w:val="18"/>
                <w:lang w:eastAsia="tr-TR"/>
              </w:rPr>
              <w:t>&gt;500 </w:t>
            </w:r>
          </w:p>
        </w:tc>
      </w:tr>
      <w:tr w:rsidR="00604DAE" w:rsidRPr="000F7A81" w:rsidTr="0065122C">
        <w:tc>
          <w:tcPr>
            <w:tcW w:w="2422" w:type="dxa"/>
            <w:hideMark/>
          </w:tcPr>
          <w:p w:rsidR="00604DAE" w:rsidRPr="000F7A81" w:rsidRDefault="00604DAE" w:rsidP="000F7A81">
            <w:pPr>
              <w:jc w:val="both"/>
              <w:rPr>
                <w:rFonts w:ascii="Arial" w:eastAsia="Times New Roman" w:hAnsi="Arial" w:cs="Arial"/>
                <w:sz w:val="16"/>
                <w:szCs w:val="16"/>
                <w:lang w:eastAsia="tr-TR"/>
              </w:rPr>
            </w:pPr>
            <w:r w:rsidRPr="000F7A81">
              <w:rPr>
                <w:rFonts w:ascii="Arial" w:eastAsia="Times New Roman" w:hAnsi="Arial" w:cs="Arial"/>
                <w:b/>
                <w:bCs/>
                <w:sz w:val="16"/>
                <w:szCs w:val="16"/>
                <w:bdr w:val="none" w:sz="0" w:space="0" w:color="auto" w:frame="1"/>
                <w:lang w:eastAsia="tr-TR"/>
              </w:rPr>
              <w:t>Yerli Fon</w:t>
            </w:r>
          </w:p>
        </w:tc>
        <w:tc>
          <w:tcPr>
            <w:tcW w:w="2742" w:type="dxa"/>
            <w:hideMark/>
          </w:tcPr>
          <w:p w:rsidR="00604DAE" w:rsidRPr="000F7A81" w:rsidRDefault="00604DAE" w:rsidP="000F7A81">
            <w:pPr>
              <w:spacing w:after="270"/>
              <w:jc w:val="both"/>
              <w:rPr>
                <w:rFonts w:ascii="Arial" w:eastAsia="Times New Roman" w:hAnsi="Arial" w:cs="Arial"/>
                <w:sz w:val="18"/>
                <w:szCs w:val="18"/>
                <w:lang w:eastAsia="tr-TR"/>
              </w:rPr>
            </w:pPr>
            <w:r w:rsidRPr="000F7A81">
              <w:rPr>
                <w:rFonts w:ascii="Arial" w:eastAsia="Times New Roman" w:hAnsi="Arial" w:cs="Arial"/>
                <w:sz w:val="18"/>
                <w:szCs w:val="18"/>
                <w:lang w:eastAsia="tr-TR"/>
              </w:rPr>
              <w:t>&gt;3 milyon TL</w:t>
            </w:r>
          </w:p>
        </w:tc>
        <w:tc>
          <w:tcPr>
            <w:tcW w:w="2122" w:type="dxa"/>
            <w:hideMark/>
          </w:tcPr>
          <w:p w:rsidR="00604DAE" w:rsidRPr="000F7A81" w:rsidRDefault="00604DAE" w:rsidP="000F7A81">
            <w:pPr>
              <w:spacing w:after="270"/>
              <w:jc w:val="both"/>
              <w:rPr>
                <w:rFonts w:ascii="Arial" w:eastAsia="Times New Roman" w:hAnsi="Arial" w:cs="Arial"/>
                <w:sz w:val="18"/>
                <w:szCs w:val="18"/>
                <w:lang w:eastAsia="tr-TR"/>
              </w:rPr>
            </w:pPr>
            <w:r w:rsidRPr="000F7A81">
              <w:rPr>
                <w:rFonts w:ascii="Arial" w:eastAsia="Times New Roman" w:hAnsi="Arial" w:cs="Arial"/>
                <w:sz w:val="18"/>
                <w:szCs w:val="18"/>
                <w:lang w:eastAsia="tr-TR"/>
              </w:rPr>
              <w:t>  </w:t>
            </w:r>
          </w:p>
        </w:tc>
      </w:tr>
      <w:tr w:rsidR="00604DAE" w:rsidRPr="000F7A81" w:rsidTr="00604DAE">
        <w:trPr>
          <w:trHeight w:val="510"/>
        </w:trPr>
        <w:tc>
          <w:tcPr>
            <w:tcW w:w="2422" w:type="dxa"/>
            <w:hideMark/>
          </w:tcPr>
          <w:p w:rsidR="00604DAE" w:rsidRPr="000F7A81" w:rsidRDefault="00604DAE" w:rsidP="000F7A81">
            <w:pPr>
              <w:jc w:val="both"/>
              <w:rPr>
                <w:rFonts w:ascii="Arial" w:eastAsia="Times New Roman" w:hAnsi="Arial" w:cs="Arial"/>
                <w:sz w:val="16"/>
                <w:szCs w:val="16"/>
                <w:lang w:eastAsia="tr-TR"/>
              </w:rPr>
            </w:pPr>
            <w:r w:rsidRPr="000F7A81">
              <w:rPr>
                <w:rFonts w:ascii="Arial" w:eastAsia="Times New Roman" w:hAnsi="Arial" w:cs="Arial"/>
                <w:b/>
                <w:bCs/>
                <w:sz w:val="16"/>
                <w:szCs w:val="16"/>
                <w:bdr w:val="none" w:sz="0" w:space="0" w:color="auto" w:frame="1"/>
                <w:lang w:eastAsia="tr-TR"/>
              </w:rPr>
              <w:t>Likidite</w:t>
            </w:r>
          </w:p>
        </w:tc>
        <w:tc>
          <w:tcPr>
            <w:tcW w:w="2742" w:type="dxa"/>
            <w:hideMark/>
          </w:tcPr>
          <w:p w:rsidR="00604DAE" w:rsidRPr="000F7A81" w:rsidRDefault="00604DAE" w:rsidP="000F7A81">
            <w:pPr>
              <w:spacing w:after="270"/>
              <w:jc w:val="both"/>
              <w:rPr>
                <w:rFonts w:ascii="Arial" w:eastAsia="Times New Roman" w:hAnsi="Arial" w:cs="Arial"/>
                <w:sz w:val="18"/>
                <w:szCs w:val="18"/>
                <w:lang w:eastAsia="tr-TR"/>
              </w:rPr>
            </w:pPr>
            <w:r w:rsidRPr="000F7A81">
              <w:rPr>
                <w:rFonts w:ascii="Arial" w:eastAsia="Times New Roman" w:hAnsi="Arial" w:cs="Arial"/>
                <w:sz w:val="18"/>
                <w:szCs w:val="18"/>
                <w:lang w:eastAsia="tr-TR"/>
              </w:rPr>
              <w:t>&lt;2,5</w:t>
            </w:r>
          </w:p>
        </w:tc>
        <w:tc>
          <w:tcPr>
            <w:tcW w:w="2122" w:type="dxa"/>
            <w:hideMark/>
          </w:tcPr>
          <w:p w:rsidR="00604DAE" w:rsidRPr="000F7A81" w:rsidRDefault="00604DAE" w:rsidP="000F7A81">
            <w:pPr>
              <w:spacing w:after="270"/>
              <w:jc w:val="both"/>
              <w:rPr>
                <w:rFonts w:ascii="Arial" w:eastAsia="Times New Roman" w:hAnsi="Arial" w:cs="Arial"/>
                <w:sz w:val="18"/>
                <w:szCs w:val="18"/>
                <w:lang w:eastAsia="tr-TR"/>
              </w:rPr>
            </w:pPr>
            <w:r w:rsidRPr="000F7A81">
              <w:rPr>
                <w:rFonts w:ascii="Arial" w:eastAsia="Times New Roman" w:hAnsi="Arial" w:cs="Arial"/>
                <w:sz w:val="18"/>
                <w:szCs w:val="18"/>
                <w:lang w:eastAsia="tr-TR"/>
              </w:rPr>
              <w:t>&lt; 7,5</w:t>
            </w:r>
          </w:p>
        </w:tc>
      </w:tr>
      <w:tr w:rsidR="00604DAE" w:rsidRPr="000F7A81" w:rsidTr="00A34AA7">
        <w:trPr>
          <w:trHeight w:val="435"/>
        </w:trPr>
        <w:tc>
          <w:tcPr>
            <w:tcW w:w="2422" w:type="dxa"/>
          </w:tcPr>
          <w:p w:rsidR="00604DAE" w:rsidRPr="000F7A81" w:rsidRDefault="00604DAE" w:rsidP="000F7A81">
            <w:pPr>
              <w:jc w:val="both"/>
              <w:rPr>
                <w:rFonts w:ascii="Arial" w:eastAsia="Times New Roman" w:hAnsi="Arial" w:cs="Arial"/>
                <w:b/>
                <w:bCs/>
                <w:sz w:val="16"/>
                <w:szCs w:val="16"/>
                <w:bdr w:val="none" w:sz="0" w:space="0" w:color="auto" w:frame="1"/>
                <w:lang w:eastAsia="tr-TR"/>
              </w:rPr>
            </w:pPr>
            <w:r w:rsidRPr="000F7A81">
              <w:rPr>
                <w:rFonts w:ascii="Arial" w:eastAsia="Times New Roman" w:hAnsi="Arial" w:cs="Arial"/>
                <w:b/>
                <w:bCs/>
                <w:sz w:val="16"/>
                <w:szCs w:val="16"/>
                <w:bdr w:val="none" w:sz="0" w:space="0" w:color="auto" w:frame="1"/>
                <w:lang w:eastAsia="tr-TR"/>
              </w:rPr>
              <w:lastRenderedPageBreak/>
              <w:t xml:space="preserve">(*) </w:t>
            </w:r>
          </w:p>
        </w:tc>
        <w:tc>
          <w:tcPr>
            <w:tcW w:w="2742" w:type="dxa"/>
          </w:tcPr>
          <w:p w:rsidR="00604DAE" w:rsidRPr="000F7A81" w:rsidRDefault="00604DAE" w:rsidP="000F7A81">
            <w:pPr>
              <w:spacing w:after="270"/>
              <w:jc w:val="both"/>
              <w:rPr>
                <w:rFonts w:ascii="Arial" w:eastAsia="Times New Roman" w:hAnsi="Arial" w:cs="Arial"/>
                <w:sz w:val="18"/>
                <w:szCs w:val="18"/>
                <w:lang w:eastAsia="tr-TR"/>
              </w:rPr>
            </w:pPr>
            <w:r w:rsidRPr="000F7A81">
              <w:rPr>
                <w:rFonts w:ascii="Arial" w:eastAsia="Times New Roman" w:hAnsi="Arial" w:cs="Arial"/>
                <w:sz w:val="18"/>
                <w:szCs w:val="18"/>
                <w:lang w:eastAsia="tr-TR"/>
              </w:rPr>
              <w:t>Fiili Dolaşımdaki Payların Piyasa Değeri (FDPD)&gt;750 milyon TL ve Likidite</w:t>
            </w:r>
          </w:p>
        </w:tc>
        <w:tc>
          <w:tcPr>
            <w:tcW w:w="2122" w:type="dxa"/>
          </w:tcPr>
          <w:p w:rsidR="00604DAE" w:rsidRPr="000F7A81" w:rsidRDefault="00604DAE" w:rsidP="000F7A81">
            <w:pPr>
              <w:spacing w:after="270"/>
              <w:jc w:val="both"/>
              <w:rPr>
                <w:rFonts w:ascii="Arial" w:eastAsia="Times New Roman" w:hAnsi="Arial" w:cs="Arial"/>
                <w:sz w:val="18"/>
                <w:szCs w:val="18"/>
                <w:lang w:eastAsia="tr-TR"/>
              </w:rPr>
            </w:pPr>
            <w:r w:rsidRPr="000F7A81">
              <w:rPr>
                <w:rFonts w:ascii="Arial" w:eastAsia="Times New Roman" w:hAnsi="Arial" w:cs="Arial"/>
                <w:sz w:val="18"/>
                <w:szCs w:val="18"/>
                <w:lang w:eastAsia="tr-TR"/>
              </w:rPr>
              <w:t> Temettü&gt;%10 ve Fiili Dolaşımdaki Payların Piyasa Değeri (FDPD)&gt;30 milyon TL</w:t>
            </w:r>
          </w:p>
        </w:tc>
      </w:tr>
    </w:tbl>
    <w:p w:rsidR="00C83893" w:rsidRPr="000F7A81" w:rsidRDefault="00C83893" w:rsidP="000F7A81">
      <w:pPr>
        <w:tabs>
          <w:tab w:val="left" w:pos="1620"/>
        </w:tabs>
        <w:spacing w:after="0" w:line="240" w:lineRule="auto"/>
        <w:jc w:val="both"/>
        <w:rPr>
          <w:rFonts w:ascii="Arial" w:hAnsi="Arial" w:cs="Arial"/>
          <w:u w:val="single"/>
        </w:rPr>
      </w:pPr>
    </w:p>
    <w:p w:rsidR="000A3779" w:rsidRPr="000F7A81" w:rsidRDefault="000A3779" w:rsidP="000F7A81">
      <w:pPr>
        <w:tabs>
          <w:tab w:val="left" w:pos="1620"/>
        </w:tabs>
        <w:spacing w:after="0" w:line="240" w:lineRule="auto"/>
        <w:jc w:val="both"/>
        <w:rPr>
          <w:rFonts w:ascii="Arial" w:hAnsi="Arial" w:cs="Arial"/>
          <w:b/>
          <w:u w:val="single"/>
        </w:rPr>
      </w:pPr>
      <w:r w:rsidRPr="000F7A81">
        <w:rPr>
          <w:rFonts w:ascii="Arial" w:hAnsi="Arial" w:cs="Arial"/>
          <w:b/>
          <w:u w:val="single"/>
        </w:rPr>
        <w:t>Kriterlerin Açıklamaları:</w:t>
      </w:r>
    </w:p>
    <w:p w:rsidR="000A3779" w:rsidRPr="000F7A81" w:rsidRDefault="000A3779" w:rsidP="000F7A81">
      <w:pPr>
        <w:tabs>
          <w:tab w:val="left" w:pos="1620"/>
        </w:tabs>
        <w:spacing w:after="0" w:line="240" w:lineRule="auto"/>
        <w:jc w:val="both"/>
        <w:rPr>
          <w:rFonts w:ascii="Arial" w:hAnsi="Arial" w:cs="Arial"/>
          <w:u w:val="single"/>
        </w:rPr>
      </w:pPr>
    </w:p>
    <w:p w:rsidR="000A3779" w:rsidRPr="000F7A81" w:rsidRDefault="000A3779" w:rsidP="000F7A81">
      <w:pPr>
        <w:tabs>
          <w:tab w:val="left" w:pos="1620"/>
        </w:tabs>
        <w:spacing w:after="0" w:line="240" w:lineRule="auto"/>
        <w:jc w:val="both"/>
        <w:rPr>
          <w:rFonts w:ascii="Arial" w:hAnsi="Arial" w:cs="Arial"/>
        </w:rPr>
      </w:pPr>
      <w:r w:rsidRPr="000F7A81">
        <w:rPr>
          <w:rFonts w:ascii="Arial" w:hAnsi="Arial" w:cs="Arial"/>
          <w:b/>
        </w:rPr>
        <w:t>PD:</w:t>
      </w:r>
      <w:r w:rsidRPr="000F7A81">
        <w:rPr>
          <w:rFonts w:ascii="Arial" w:hAnsi="Arial" w:cs="Arial"/>
        </w:rPr>
        <w:t xml:space="preserve"> Şirketin tüm sermayesi üzerinden hesaplanan toplam piyasa değerini,</w:t>
      </w:r>
    </w:p>
    <w:p w:rsidR="000A3779" w:rsidRPr="000F7A81" w:rsidRDefault="00C83893" w:rsidP="000F7A81">
      <w:pPr>
        <w:tabs>
          <w:tab w:val="left" w:pos="1620"/>
        </w:tabs>
        <w:spacing w:after="0" w:line="240" w:lineRule="auto"/>
        <w:jc w:val="both"/>
        <w:rPr>
          <w:rFonts w:ascii="Arial" w:hAnsi="Arial" w:cs="Arial"/>
        </w:rPr>
      </w:pPr>
      <w:r w:rsidRPr="000F7A81">
        <w:rPr>
          <w:rFonts w:ascii="Arial" w:hAnsi="Arial" w:cs="Arial"/>
          <w:b/>
        </w:rPr>
        <w:t>P</w:t>
      </w:r>
      <w:r w:rsidR="000A3779" w:rsidRPr="000F7A81">
        <w:rPr>
          <w:rFonts w:ascii="Arial" w:hAnsi="Arial" w:cs="Arial"/>
          <w:b/>
        </w:rPr>
        <w:t>DPD:</w:t>
      </w:r>
      <w:r w:rsidR="000A3779" w:rsidRPr="000F7A81">
        <w:rPr>
          <w:rFonts w:ascii="Arial" w:hAnsi="Arial" w:cs="Arial"/>
        </w:rPr>
        <w:t xml:space="preserve"> Şirketin Kurul tarafından belirlenen kriterler çerçevesinde dönem sonu itibariyle (FD pay adedi) x (bir yıllık düzeltilmiş kapanış fiyatlarının ortalaması) şeklinde hesaplanan, fiili dolaşımdaki paylarının piyasa değerini,</w:t>
      </w:r>
    </w:p>
    <w:p w:rsidR="000A3779" w:rsidRPr="000F7A81" w:rsidRDefault="000A3779" w:rsidP="000F7A81">
      <w:pPr>
        <w:tabs>
          <w:tab w:val="left" w:pos="1620"/>
        </w:tabs>
        <w:spacing w:after="0" w:line="240" w:lineRule="auto"/>
        <w:jc w:val="both"/>
        <w:rPr>
          <w:rFonts w:ascii="Arial" w:hAnsi="Arial" w:cs="Arial"/>
        </w:rPr>
      </w:pPr>
      <w:r w:rsidRPr="000F7A81">
        <w:rPr>
          <w:rFonts w:ascii="Arial" w:hAnsi="Arial" w:cs="Arial"/>
          <w:b/>
        </w:rPr>
        <w:t>FDO:</w:t>
      </w:r>
      <w:r w:rsidRPr="000F7A81">
        <w:rPr>
          <w:rFonts w:ascii="Arial" w:hAnsi="Arial" w:cs="Arial"/>
        </w:rPr>
        <w:t xml:space="preserve"> Şirketin Kurul tarafından belirlenen kriterler çerçevesinde hesaplanan fiili dolaşımdaki paylarının şirket sermayesine oranını,</w:t>
      </w:r>
    </w:p>
    <w:p w:rsidR="000A3779" w:rsidRPr="000F7A81" w:rsidRDefault="000A3779" w:rsidP="000F7A81">
      <w:pPr>
        <w:tabs>
          <w:tab w:val="left" w:pos="1620"/>
        </w:tabs>
        <w:spacing w:after="0" w:line="240" w:lineRule="auto"/>
        <w:jc w:val="both"/>
        <w:rPr>
          <w:rFonts w:ascii="Arial" w:hAnsi="Arial" w:cs="Arial"/>
        </w:rPr>
      </w:pPr>
      <w:r w:rsidRPr="000F7A81">
        <w:rPr>
          <w:rFonts w:ascii="Arial" w:hAnsi="Arial" w:cs="Arial"/>
          <w:b/>
        </w:rPr>
        <w:t>Yerli Bireysel Yatırımcı Sayısı:</w:t>
      </w:r>
      <w:r w:rsidRPr="000F7A81">
        <w:rPr>
          <w:rFonts w:ascii="Arial" w:hAnsi="Arial" w:cs="Arial"/>
        </w:rPr>
        <w:t xml:space="preserve"> MKK verilerine göre ilgili payda son bir yıl içinde 500 TL ve üzeri piyasa değerine sahip olan ortalama yerli bireysel yatırımcı sayısını,</w:t>
      </w:r>
    </w:p>
    <w:p w:rsidR="000A3779" w:rsidRPr="000F7A81" w:rsidRDefault="000A3779" w:rsidP="000F7A81">
      <w:pPr>
        <w:tabs>
          <w:tab w:val="left" w:pos="1620"/>
        </w:tabs>
        <w:spacing w:after="0" w:line="240" w:lineRule="auto"/>
        <w:jc w:val="both"/>
        <w:rPr>
          <w:rFonts w:ascii="Arial" w:hAnsi="Arial" w:cs="Arial"/>
        </w:rPr>
      </w:pPr>
      <w:r w:rsidRPr="000F7A81">
        <w:rPr>
          <w:rFonts w:ascii="Arial" w:hAnsi="Arial" w:cs="Arial"/>
          <w:b/>
        </w:rPr>
        <w:t>Yerli Fon:</w:t>
      </w:r>
      <w:r w:rsidRPr="000F7A81">
        <w:rPr>
          <w:rFonts w:ascii="Arial" w:hAnsi="Arial" w:cs="Arial"/>
        </w:rPr>
        <w:t xml:space="preserve"> MKK verilerine göre ilgili payda SPK denetiminde bulunan “Yatırım Fonlarının” ve “Emeklilik Yatırım Fonlarının” portföyünde bulunan kısmın son bir yıl içindeki ortalama piyasa değerini,</w:t>
      </w:r>
    </w:p>
    <w:p w:rsidR="000A3779" w:rsidRPr="000F7A81" w:rsidRDefault="000A3779" w:rsidP="000F7A81">
      <w:pPr>
        <w:tabs>
          <w:tab w:val="left" w:pos="1620"/>
        </w:tabs>
        <w:spacing w:after="0" w:line="240" w:lineRule="auto"/>
        <w:jc w:val="both"/>
        <w:rPr>
          <w:rFonts w:ascii="Arial" w:hAnsi="Arial" w:cs="Arial"/>
        </w:rPr>
      </w:pPr>
      <w:r w:rsidRPr="000F7A81">
        <w:rPr>
          <w:rFonts w:ascii="Arial" w:hAnsi="Arial" w:cs="Arial"/>
          <w:b/>
        </w:rPr>
        <w:t>Likidite Kriteri:</w:t>
      </w:r>
      <w:r w:rsidRPr="000F7A81">
        <w:rPr>
          <w:rFonts w:ascii="Arial" w:hAnsi="Arial" w:cs="Arial"/>
        </w:rPr>
        <w:t xml:space="preserve"> 1 Milyon TL işlem hacmi ile payda günlük bazda oluşan ortalama fiyat değişim oranını,</w:t>
      </w:r>
    </w:p>
    <w:p w:rsidR="000A3779" w:rsidRPr="000F7A81" w:rsidRDefault="000A3779" w:rsidP="000F7A81">
      <w:pPr>
        <w:tabs>
          <w:tab w:val="left" w:pos="1620"/>
        </w:tabs>
        <w:spacing w:after="0" w:line="240" w:lineRule="auto"/>
        <w:jc w:val="both"/>
        <w:rPr>
          <w:rFonts w:ascii="Arial" w:hAnsi="Arial" w:cs="Arial"/>
        </w:rPr>
      </w:pPr>
      <w:r w:rsidRPr="000F7A81">
        <w:rPr>
          <w:rFonts w:ascii="Arial" w:hAnsi="Arial" w:cs="Arial"/>
        </w:rPr>
        <w:t>Bu değerin hesaplanmasında Amihud İllikidite Ölçümü (Amihud Illiquidity Measure) yöntemi kullanılmaktadır. Değerlendirme dönemi süresince payda meydana gelen günlük fiyat değişiminin mutlak değerinin, ilgili payın ilgili gündeki işlem hacmine oranlarının aritmetik ortalama değerinin 1.000.000 ile çarpılması suretiyle bulunur (işlem hacmine özel işlem bildirimleri dahil edilmez).</w:t>
      </w:r>
    </w:p>
    <w:p w:rsidR="000A3779" w:rsidRPr="000F7A81" w:rsidRDefault="000A3779" w:rsidP="000F7A81">
      <w:pPr>
        <w:tabs>
          <w:tab w:val="left" w:pos="1620"/>
        </w:tabs>
        <w:spacing w:after="0" w:line="240" w:lineRule="auto"/>
        <w:jc w:val="both"/>
        <w:rPr>
          <w:rFonts w:ascii="Arial" w:hAnsi="Arial" w:cs="Arial"/>
        </w:rPr>
      </w:pPr>
      <w:r w:rsidRPr="000F7A81">
        <w:rPr>
          <w:rFonts w:ascii="Arial" w:hAnsi="Arial" w:cs="Arial"/>
          <w:b/>
        </w:rPr>
        <w:t>Ek Kriter- Temettü Getirisi:</w:t>
      </w:r>
      <w:r w:rsidRPr="000F7A81">
        <w:rPr>
          <w:rFonts w:ascii="Arial" w:hAnsi="Arial" w:cs="Arial"/>
        </w:rPr>
        <w:t xml:space="preserve">  (Son 3 yıllık net nakit temettü toplamı) / (dönem sonu piyasa değeri) x 100 değerini</w:t>
      </w:r>
    </w:p>
    <w:p w:rsidR="000A3779" w:rsidRPr="000F7A81" w:rsidRDefault="000A3779" w:rsidP="000F7A81">
      <w:pPr>
        <w:tabs>
          <w:tab w:val="left" w:pos="1620"/>
        </w:tabs>
        <w:spacing w:after="0" w:line="240" w:lineRule="auto"/>
        <w:jc w:val="both"/>
        <w:rPr>
          <w:rFonts w:ascii="Arial" w:hAnsi="Arial" w:cs="Arial"/>
        </w:rPr>
      </w:pPr>
      <w:r w:rsidRPr="000F7A81">
        <w:rPr>
          <w:rFonts w:ascii="Arial" w:hAnsi="Arial" w:cs="Arial"/>
        </w:rPr>
        <w:t>ifade eder.</w:t>
      </w:r>
    </w:p>
    <w:p w:rsidR="000A3779" w:rsidRPr="000F7A81" w:rsidRDefault="000A3779" w:rsidP="000F7A81">
      <w:pPr>
        <w:tabs>
          <w:tab w:val="left" w:pos="1620"/>
        </w:tabs>
        <w:spacing w:after="0" w:line="240" w:lineRule="auto"/>
        <w:jc w:val="both"/>
        <w:rPr>
          <w:rFonts w:ascii="Arial" w:hAnsi="Arial" w:cs="Arial"/>
        </w:rPr>
      </w:pPr>
    </w:p>
    <w:p w:rsidR="00604DAE" w:rsidRPr="000F7A81" w:rsidRDefault="00604DAE" w:rsidP="000F7A81">
      <w:pPr>
        <w:pStyle w:val="ListeParagraf"/>
        <w:numPr>
          <w:ilvl w:val="0"/>
          <w:numId w:val="6"/>
        </w:numPr>
        <w:tabs>
          <w:tab w:val="left" w:pos="1620"/>
        </w:tabs>
        <w:spacing w:after="0" w:line="240" w:lineRule="auto"/>
        <w:jc w:val="both"/>
        <w:rPr>
          <w:rFonts w:ascii="Arial" w:hAnsi="Arial" w:cs="Arial"/>
          <w:u w:val="single"/>
        </w:rPr>
      </w:pPr>
      <w:r w:rsidRPr="000F7A81">
        <w:rPr>
          <w:rFonts w:ascii="Arial" w:hAnsi="Arial" w:cs="Arial"/>
        </w:rPr>
        <w:t xml:space="preserve">Halka açık şirketlerde tek grup payın ideal olduğu vurgusuna istinaden çok yüksek halka açıklığa sahip şirketlerde pay sahipleri arasında eşitliği teşvik eden bir imtiyaz kriteri getirilmiştir. </w:t>
      </w:r>
    </w:p>
    <w:p w:rsidR="00604DAE" w:rsidRPr="000F7A81" w:rsidRDefault="00604DAE" w:rsidP="000F7A81">
      <w:pPr>
        <w:pStyle w:val="ListeParagraf"/>
        <w:tabs>
          <w:tab w:val="left" w:pos="1620"/>
        </w:tabs>
        <w:spacing w:after="0" w:line="240" w:lineRule="auto"/>
        <w:jc w:val="both"/>
        <w:rPr>
          <w:rFonts w:ascii="Arial" w:hAnsi="Arial" w:cs="Arial"/>
          <w:u w:val="single"/>
        </w:rPr>
      </w:pPr>
    </w:p>
    <w:p w:rsidR="00604DAE" w:rsidRPr="000F7A81" w:rsidRDefault="00604DAE" w:rsidP="000F7A81">
      <w:pPr>
        <w:pStyle w:val="ListeParagraf"/>
        <w:numPr>
          <w:ilvl w:val="0"/>
          <w:numId w:val="6"/>
        </w:numPr>
        <w:tabs>
          <w:tab w:val="left" w:pos="1620"/>
        </w:tabs>
        <w:spacing w:after="0" w:line="240" w:lineRule="auto"/>
        <w:jc w:val="both"/>
        <w:rPr>
          <w:rFonts w:ascii="Arial" w:hAnsi="Arial" w:cs="Arial"/>
          <w:u w:val="single"/>
        </w:rPr>
      </w:pPr>
      <w:r w:rsidRPr="000F7A81">
        <w:rPr>
          <w:rFonts w:ascii="Arial" w:hAnsi="Arial" w:cs="Arial"/>
        </w:rPr>
        <w:t xml:space="preserve">Borsada işlem görecek şirketler için aranan kota alma şartlarından halka arz edilen payların asgari piyasa değeri şartı, Yıldız Pazar için 150 milyon TL’den 200 milyon TL’ye yükseltilmiş, Ana Pazar için aranan 50 milyon TL değiştirilmemiş, Alt Pazar için ise 20 milyon TL olarak belirlenmiştir. </w:t>
      </w:r>
    </w:p>
    <w:p w:rsidR="00604DAE" w:rsidRPr="000F7A81" w:rsidRDefault="00604DAE" w:rsidP="000F7A81">
      <w:pPr>
        <w:tabs>
          <w:tab w:val="left" w:pos="1620"/>
        </w:tabs>
        <w:spacing w:after="0" w:line="240" w:lineRule="auto"/>
        <w:jc w:val="both"/>
        <w:rPr>
          <w:rFonts w:ascii="Arial" w:hAnsi="Arial" w:cs="Arial"/>
          <w:u w:val="single"/>
        </w:rPr>
      </w:pPr>
    </w:p>
    <w:p w:rsidR="000A3779" w:rsidRPr="000F7A81" w:rsidRDefault="00604DAE" w:rsidP="000F7A81">
      <w:pPr>
        <w:pStyle w:val="ListeParagraf"/>
        <w:numPr>
          <w:ilvl w:val="0"/>
          <w:numId w:val="6"/>
        </w:numPr>
        <w:tabs>
          <w:tab w:val="left" w:pos="1620"/>
        </w:tabs>
        <w:spacing w:after="0" w:line="240" w:lineRule="auto"/>
        <w:jc w:val="both"/>
        <w:rPr>
          <w:rFonts w:ascii="Arial" w:hAnsi="Arial" w:cs="Arial"/>
          <w:u w:val="single"/>
        </w:rPr>
      </w:pPr>
      <w:r w:rsidRPr="000F7A81">
        <w:rPr>
          <w:rFonts w:ascii="Arial" w:hAnsi="Arial" w:cs="Arial"/>
        </w:rPr>
        <w:t>Sağlıklı fiyat oluşumu açısından önemli bir kriter olan, fiili dolaşım oranı %5’in altında olan Şirketler Piyasa Öncesi İşlem Platformu’na alınabilecektir. Borsa İstanbul’da işlem gören ve halihazırda fiili dolaşım oranı %5’in altında olan şirketlere 01.01.2021 tarihine kadar fiili dolaşım oranını %5’in üstüne çıkarmaları için süre verilmesine, bu tarihe kadar fiili dolaşım oranını %5’in üstüne çıkarmayan Şirketlerin 01.01.2021 tarihinden itibaren paylarının Piyasa Öncesi İşlem Platformu’nda işlem görmeye devam edebileceği konusunda uyarılmasına karar verilmiştir. Bu nedenle Piyasa Öncesi İşlem Platformu’na alınacak şirketlerden fiili dolaşım oranını %5’in üstüne çıkaranlar ilgili pazara alınabilecektir.</w:t>
      </w:r>
    </w:p>
    <w:p w:rsidR="00C83893" w:rsidRPr="000F7A81" w:rsidRDefault="00C83893" w:rsidP="000F7A81">
      <w:pPr>
        <w:tabs>
          <w:tab w:val="left" w:pos="1620"/>
        </w:tabs>
        <w:spacing w:after="0" w:line="240" w:lineRule="auto"/>
        <w:jc w:val="both"/>
        <w:rPr>
          <w:rFonts w:ascii="Arial" w:hAnsi="Arial" w:cs="Arial"/>
          <w:u w:val="single"/>
        </w:rPr>
      </w:pPr>
    </w:p>
    <w:p w:rsidR="00101109" w:rsidRPr="000F7A81" w:rsidRDefault="00101109" w:rsidP="000F7A81">
      <w:pPr>
        <w:tabs>
          <w:tab w:val="left" w:pos="1620"/>
        </w:tabs>
        <w:spacing w:after="0" w:line="240" w:lineRule="auto"/>
        <w:jc w:val="both"/>
        <w:rPr>
          <w:rFonts w:ascii="Arial" w:hAnsi="Arial" w:cs="Arial"/>
          <w:bCs/>
          <w:lang w:bidi="tr-TR"/>
        </w:rPr>
      </w:pPr>
      <w:r w:rsidRPr="000F7A81">
        <w:rPr>
          <w:rFonts w:ascii="Arial" w:hAnsi="Arial" w:cs="Arial"/>
          <w:bCs/>
          <w:lang w:bidi="tr-TR"/>
        </w:rPr>
        <w:t xml:space="preserve">İşbu İşlem Kuralları Bildirim Formu BIST’de işlem gören </w:t>
      </w:r>
      <w:r w:rsidR="00C83893" w:rsidRPr="000F7A81">
        <w:rPr>
          <w:rFonts w:ascii="Arial" w:hAnsi="Arial" w:cs="Arial"/>
          <w:bCs/>
          <w:lang w:bidi="tr-TR"/>
        </w:rPr>
        <w:t>payların</w:t>
      </w:r>
      <w:r w:rsidRPr="000F7A81">
        <w:rPr>
          <w:rFonts w:ascii="Arial" w:hAnsi="Arial" w:cs="Arial"/>
          <w:bCs/>
          <w:lang w:bidi="tr-TR"/>
        </w:rPr>
        <w:t xml:space="preserve"> </w:t>
      </w:r>
      <w:r w:rsidR="00C83893" w:rsidRPr="000F7A81">
        <w:rPr>
          <w:rFonts w:ascii="Arial" w:hAnsi="Arial" w:cs="Arial"/>
          <w:bCs/>
          <w:lang w:bidi="tr-TR"/>
        </w:rPr>
        <w:t xml:space="preserve">işlem gördüğü pazarların yapısı ve işlem esasları </w:t>
      </w:r>
      <w:r w:rsidRPr="000F7A81">
        <w:rPr>
          <w:rFonts w:ascii="Arial" w:hAnsi="Arial" w:cs="Arial"/>
          <w:bCs/>
          <w:lang w:bidi="tr-TR"/>
        </w:rPr>
        <w:t>hakkında bilgilendirmeyi amaçlamaktadır. Aracı kuruluş nezdinde açtıracağınız hesap ve bu hesap üzerinden gerçekleştirilecek tüm işlemler için Sermaye Piyasası Kurulu, borsalar ve takas merkezleri tarafından çıkartılan ilgili her türlü mevzuat ve benzeri tüm idari düzenleme hükümleri uygulanacaktır.</w:t>
      </w:r>
    </w:p>
    <w:p w:rsidR="00C83893" w:rsidRPr="000F7A81" w:rsidRDefault="00C83893" w:rsidP="000F7A81">
      <w:pPr>
        <w:tabs>
          <w:tab w:val="left" w:pos="1620"/>
        </w:tabs>
        <w:spacing w:after="0" w:line="240" w:lineRule="auto"/>
        <w:jc w:val="both"/>
        <w:rPr>
          <w:rFonts w:ascii="Arial" w:hAnsi="Arial" w:cs="Arial"/>
          <w:bCs/>
          <w:lang w:bidi="tr-TR"/>
        </w:rPr>
      </w:pPr>
    </w:p>
    <w:p w:rsidR="00101109" w:rsidRPr="000F7A81" w:rsidRDefault="00101109" w:rsidP="000F7A81">
      <w:pPr>
        <w:tabs>
          <w:tab w:val="left" w:pos="1620"/>
        </w:tabs>
        <w:jc w:val="both"/>
        <w:rPr>
          <w:rFonts w:ascii="Arial" w:hAnsi="Arial" w:cs="Arial"/>
          <w:b/>
          <w:lang w:bidi="tr-TR"/>
        </w:rPr>
      </w:pPr>
      <w:r w:rsidRPr="000F7A81">
        <w:rPr>
          <w:rFonts w:ascii="Arial" w:hAnsi="Arial" w:cs="Arial"/>
          <w:b/>
          <w:lang w:bidi="tr-TR"/>
        </w:rPr>
        <w:lastRenderedPageBreak/>
        <w:t xml:space="preserve">ARACI KURUM aracılığıyla yapacağım </w:t>
      </w:r>
      <w:r w:rsidR="00C83893" w:rsidRPr="000F7A81">
        <w:rPr>
          <w:rFonts w:ascii="Arial" w:hAnsi="Arial" w:cs="Arial"/>
          <w:b/>
          <w:lang w:bidi="tr-TR"/>
        </w:rPr>
        <w:t>pay</w:t>
      </w:r>
      <w:r w:rsidRPr="000F7A81">
        <w:rPr>
          <w:rFonts w:ascii="Arial" w:hAnsi="Arial" w:cs="Arial"/>
          <w:b/>
          <w:lang w:bidi="tr-TR"/>
        </w:rPr>
        <w:t xml:space="preserve"> alım-satım işlemleri çerçevesinde, </w:t>
      </w:r>
      <w:r w:rsidR="00C83893" w:rsidRPr="000F7A81">
        <w:rPr>
          <w:rFonts w:ascii="Arial" w:hAnsi="Arial" w:cs="Arial"/>
          <w:b/>
        </w:rPr>
        <w:t xml:space="preserve">Borsa İstanbul A.Ş. Pay Piyasası Pazarları Değerlendirme Kriterleri ve İşlem Esasları </w:t>
      </w:r>
      <w:r w:rsidR="00026510" w:rsidRPr="000F7A81">
        <w:rPr>
          <w:rFonts w:ascii="Arial" w:hAnsi="Arial" w:cs="Arial"/>
          <w:b/>
          <w:lang w:bidi="tr-TR"/>
        </w:rPr>
        <w:t>Bildirim Formunu</w:t>
      </w:r>
      <w:r w:rsidRPr="000F7A81">
        <w:rPr>
          <w:rFonts w:ascii="Arial" w:hAnsi="Arial" w:cs="Arial"/>
          <w:b/>
          <w:lang w:bidi="tr-TR"/>
        </w:rPr>
        <w:t xml:space="preserve"> Sermaye Piyasası Kurulu'nun yukarıda bulunan kararını okuyup anladığımı, s</w:t>
      </w:r>
      <w:r w:rsidR="00604DAE" w:rsidRPr="000F7A81">
        <w:rPr>
          <w:rFonts w:ascii="Arial" w:hAnsi="Arial" w:cs="Arial"/>
          <w:b/>
          <w:lang w:bidi="tr-TR"/>
        </w:rPr>
        <w:t xml:space="preserve">öz konusu karar ve düzenlemelerle ilgili </w:t>
      </w:r>
      <w:r w:rsidRPr="000F7A81">
        <w:rPr>
          <w:rFonts w:ascii="Arial" w:hAnsi="Arial" w:cs="Arial"/>
          <w:b/>
          <w:lang w:bidi="tr-TR"/>
        </w:rPr>
        <w:t>olarak Aracı Kurum tarafından bilgilendirildiğimi, bu hususlarda risk bildirimi uyarısı yapıldığını, önceki sayfalar imzalanmamış dahi olsa da tüm hükümlerin geçerli olduğunu bildiğimi, bundan böyle anılan Sermaye Piyasası Kurulu kararı ve diğer düzenlemelerde yapılacak değişiklikleri takip edeceğimi kabul ve beyan ederim.</w:t>
      </w:r>
    </w:p>
    <w:p w:rsidR="00101109" w:rsidRPr="000F7A81" w:rsidRDefault="00101109" w:rsidP="000F7A81">
      <w:pPr>
        <w:tabs>
          <w:tab w:val="left" w:pos="1620"/>
        </w:tabs>
        <w:jc w:val="both"/>
        <w:rPr>
          <w:rFonts w:ascii="Arial" w:hAnsi="Arial" w:cs="Arial"/>
          <w:b/>
          <w:lang w:bidi="tr-TR"/>
        </w:rPr>
      </w:pPr>
    </w:p>
    <w:p w:rsidR="00026510" w:rsidRPr="000F7A81" w:rsidRDefault="00026510" w:rsidP="000F7A81">
      <w:pPr>
        <w:jc w:val="both"/>
        <w:rPr>
          <w:rFonts w:ascii="Arial" w:hAnsi="Arial" w:cs="Arial"/>
          <w:b/>
        </w:rPr>
      </w:pPr>
      <w:r w:rsidRPr="000F7A81">
        <w:rPr>
          <w:rFonts w:ascii="Arial" w:hAnsi="Arial" w:cs="Arial"/>
          <w:b/>
        </w:rPr>
        <w:t>TARİH : ........... / ........... / ............</w:t>
      </w:r>
    </w:p>
    <w:p w:rsidR="00026510" w:rsidRPr="000F7A81" w:rsidRDefault="00026510" w:rsidP="000F7A81">
      <w:pPr>
        <w:pStyle w:val="GvdeMetni"/>
        <w:rPr>
          <w:rFonts w:ascii="Arial" w:hAnsi="Arial" w:cs="Arial"/>
          <w:b/>
        </w:rPr>
      </w:pPr>
    </w:p>
    <w:p w:rsidR="00026510" w:rsidRPr="000F7A81" w:rsidRDefault="00026510" w:rsidP="000F7A81">
      <w:pPr>
        <w:pStyle w:val="GvdeMetni"/>
        <w:rPr>
          <w:rFonts w:ascii="Arial" w:hAnsi="Arial" w:cs="Arial"/>
          <w:b/>
          <w:sz w:val="26"/>
        </w:rPr>
      </w:pPr>
    </w:p>
    <w:p w:rsidR="00026510" w:rsidRPr="000F7A81" w:rsidRDefault="00026510" w:rsidP="000F7A81">
      <w:pPr>
        <w:jc w:val="both"/>
        <w:rPr>
          <w:rFonts w:ascii="Arial" w:hAnsi="Arial" w:cs="Arial"/>
          <w:b/>
        </w:rPr>
      </w:pPr>
      <w:r w:rsidRPr="000F7A81">
        <w:rPr>
          <w:rFonts w:ascii="Arial" w:hAnsi="Arial" w:cs="Arial"/>
          <w:b/>
        </w:rPr>
        <w:t>YATIRIMCI AD SOYAD : ................................................................................</w:t>
      </w:r>
    </w:p>
    <w:p w:rsidR="00026510" w:rsidRPr="000F7A81" w:rsidRDefault="00026510" w:rsidP="000F7A81">
      <w:pPr>
        <w:pStyle w:val="GvdeMetni"/>
        <w:rPr>
          <w:rFonts w:ascii="Arial" w:hAnsi="Arial" w:cs="Arial"/>
          <w:b/>
        </w:rPr>
      </w:pPr>
    </w:p>
    <w:p w:rsidR="00026510" w:rsidRPr="000F7A81" w:rsidRDefault="00026510" w:rsidP="000F7A81">
      <w:pPr>
        <w:pStyle w:val="GvdeMetni"/>
        <w:spacing w:before="9"/>
        <w:rPr>
          <w:rFonts w:ascii="Arial" w:hAnsi="Arial" w:cs="Arial"/>
          <w:b/>
          <w:sz w:val="25"/>
        </w:rPr>
      </w:pPr>
    </w:p>
    <w:p w:rsidR="00026510" w:rsidRPr="000F7A81" w:rsidRDefault="00026510" w:rsidP="000F7A81">
      <w:pPr>
        <w:jc w:val="both"/>
        <w:rPr>
          <w:rFonts w:ascii="Arial" w:hAnsi="Arial" w:cs="Arial"/>
          <w:b/>
        </w:rPr>
      </w:pPr>
      <w:r w:rsidRPr="000F7A81">
        <w:rPr>
          <w:rFonts w:ascii="Arial" w:hAnsi="Arial" w:cs="Arial"/>
          <w:noProof/>
          <w:lang w:eastAsia="tr-TR"/>
        </w:rPr>
        <mc:AlternateContent>
          <mc:Choice Requires="wpg">
            <w:drawing>
              <wp:anchor distT="0" distB="0" distL="114300" distR="114300" simplePos="0" relativeHeight="251659264" behindDoc="0" locked="0" layoutInCell="1" allowOverlap="1" wp14:anchorId="07CD9933" wp14:editId="757AF83D">
                <wp:simplePos x="0" y="0"/>
                <wp:positionH relativeFrom="page">
                  <wp:posOffset>2209800</wp:posOffset>
                </wp:positionH>
                <wp:positionV relativeFrom="paragraph">
                  <wp:posOffset>45085</wp:posOffset>
                </wp:positionV>
                <wp:extent cx="3124200" cy="562610"/>
                <wp:effectExtent l="9525" t="6985" r="9525" b="190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562610"/>
                          <a:chOff x="3480" y="71"/>
                          <a:chExt cx="4920" cy="886"/>
                        </a:xfrm>
                      </wpg:grpSpPr>
                      <wps:wsp>
                        <wps:cNvPr id="67" name="Line 72"/>
                        <wps:cNvCnPr/>
                        <wps:spPr bwMode="auto">
                          <a:xfrm>
                            <a:off x="3490" y="76"/>
                            <a:ext cx="490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71"/>
                        <wps:cNvCnPr/>
                        <wps:spPr bwMode="auto">
                          <a:xfrm>
                            <a:off x="3485" y="71"/>
                            <a:ext cx="0" cy="8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70"/>
                        <wps:cNvSpPr>
                          <a:spLocks noChangeArrowheads="1"/>
                        </wps:cNvSpPr>
                        <wps:spPr bwMode="auto">
                          <a:xfrm>
                            <a:off x="3480" y="9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69"/>
                        <wps:cNvCnPr/>
                        <wps:spPr bwMode="auto">
                          <a:xfrm>
                            <a:off x="3490" y="952"/>
                            <a:ext cx="49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68"/>
                        <wps:cNvCnPr/>
                        <wps:spPr bwMode="auto">
                          <a:xfrm>
                            <a:off x="8395" y="71"/>
                            <a:ext cx="0" cy="8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67"/>
                        <wps:cNvSpPr>
                          <a:spLocks noChangeArrowheads="1"/>
                        </wps:cNvSpPr>
                        <wps:spPr bwMode="auto">
                          <a:xfrm>
                            <a:off x="8390" y="9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174pt;margin-top:3.55pt;width:246pt;height:44.3pt;z-index:251659264;mso-position-horizontal-relative:page" coordorigin="3480,71" coordsize="4920,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">
                <v:line id="Line 72" o:spid="_x0000_s1027" style="position:absolute;visibility:visible;mso-wrap-style:square" from="3490,76" to="839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1KpMMAAADbAAAADwAAAGRycy9kb3ducmV2LnhtbESPT4vCMBTE78J+h/AWvNl0Fap0jSIL&#10;ggdh8c/F26N5mxaTl9JErX76jSB4HGbmN8x82TsrrtSFxrOCrywHQVx53bBRcDysRzMQISJrtJ5J&#10;wZ0CLBcfgzmW2t94R9d9NCJBOJSooI6xLaUMVU0OQ+Zb4uT9+c5hTLIzUnd4S3Bn5TjPC+mw4bRQ&#10;Y0s/NVXn/cUpmKzup37i7cw+TFOMTXHe/ra5UsPPfvUNIlIf3+FXe6MVFFN4fk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NSqTDAAAA2wAAAA8AAAAAAAAAAAAA&#10;AAAAoQIAAGRycy9kb3ducmV2LnhtbFBLBQYAAAAABAAEAPkAAACRAwAAAAA=&#10;" strokeweight=".16936mm"/>
                <v:line id="Line 71" o:spid="_x0000_s1028" style="position:absolute;visibility:visible;mso-wrap-style:square" from="3485,71" to="3485,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rect id="Rectangle 70" o:spid="_x0000_s1029" style="position:absolute;left:3480;top:9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line id="Line 69" o:spid="_x0000_s1030" style="position:absolute;visibility:visible;mso-wrap-style:square" from="3490,952" to="8390,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line id="Line 68" o:spid="_x0000_s1031" style="position:absolute;visibility:visible;mso-wrap-style:square" from="8395,71" to="8395,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rect id="Rectangle 67" o:spid="_x0000_s1032" style="position:absolute;left:8390;top:94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w10:wrap anchorx="page"/>
              </v:group>
            </w:pict>
          </mc:Fallback>
        </mc:AlternateContent>
      </w:r>
      <w:r w:rsidRPr="000F7A81">
        <w:rPr>
          <w:rFonts w:ascii="Arial" w:hAnsi="Arial" w:cs="Arial"/>
          <w:b/>
        </w:rPr>
        <w:t>YATIRIMCI İMZA :</w:t>
      </w:r>
    </w:p>
    <w:p w:rsidR="00101109" w:rsidRPr="000F7A81" w:rsidRDefault="00101109" w:rsidP="000F7A81">
      <w:pPr>
        <w:jc w:val="both"/>
        <w:rPr>
          <w:rFonts w:ascii="Arial" w:hAnsi="Arial" w:cs="Arial"/>
        </w:rPr>
      </w:pPr>
    </w:p>
    <w:p w:rsidR="000A3779" w:rsidRPr="000F7A81" w:rsidRDefault="000A3779" w:rsidP="000F7A81">
      <w:pPr>
        <w:jc w:val="both"/>
        <w:rPr>
          <w:rFonts w:ascii="Arial" w:hAnsi="Arial" w:cs="Arial"/>
        </w:rPr>
      </w:pPr>
    </w:p>
    <w:p w:rsidR="000A3779" w:rsidRPr="000F7A81" w:rsidRDefault="000A3779" w:rsidP="000F7A81">
      <w:pPr>
        <w:jc w:val="both"/>
        <w:rPr>
          <w:rFonts w:ascii="Arial" w:hAnsi="Arial" w:cs="Arial"/>
        </w:rPr>
      </w:pPr>
    </w:p>
    <w:p w:rsidR="000A3779" w:rsidRPr="000F7A81" w:rsidRDefault="000A3779" w:rsidP="000F7A81">
      <w:pPr>
        <w:jc w:val="both"/>
        <w:rPr>
          <w:rFonts w:ascii="Arial" w:hAnsi="Arial" w:cs="Arial"/>
        </w:rPr>
      </w:pPr>
    </w:p>
    <w:p w:rsidR="000A3779" w:rsidRPr="000F7A81" w:rsidRDefault="000A3779" w:rsidP="000F7A81">
      <w:pPr>
        <w:jc w:val="both"/>
        <w:rPr>
          <w:rFonts w:ascii="Arial" w:hAnsi="Arial" w:cs="Arial"/>
        </w:rPr>
      </w:pPr>
    </w:p>
    <w:p w:rsidR="000A3779" w:rsidRPr="000F7A81" w:rsidRDefault="000A3779" w:rsidP="000F7A81">
      <w:pPr>
        <w:shd w:val="clear" w:color="auto" w:fill="FFFFFF"/>
        <w:spacing w:after="270" w:line="240" w:lineRule="auto"/>
        <w:jc w:val="both"/>
        <w:rPr>
          <w:rFonts w:ascii="Arial" w:eastAsia="Times New Roman" w:hAnsi="Arial" w:cs="Arial"/>
          <w:color w:val="494949"/>
          <w:sz w:val="17"/>
          <w:szCs w:val="17"/>
          <w:lang w:eastAsia="tr-TR"/>
        </w:rPr>
      </w:pPr>
      <w:r w:rsidRPr="000F7A81">
        <w:rPr>
          <w:rFonts w:ascii="Arial" w:eastAsia="Times New Roman" w:hAnsi="Arial" w:cs="Arial"/>
          <w:color w:val="494949"/>
          <w:sz w:val="17"/>
          <w:szCs w:val="17"/>
          <w:lang w:eastAsia="tr-TR"/>
        </w:rPr>
        <w:t> </w:t>
      </w:r>
    </w:p>
    <w:p w:rsidR="000A3779" w:rsidRPr="000F7A81" w:rsidRDefault="000A3779" w:rsidP="000F7A81">
      <w:pPr>
        <w:jc w:val="both"/>
        <w:rPr>
          <w:rFonts w:ascii="Arial" w:hAnsi="Arial" w:cs="Arial"/>
        </w:rPr>
      </w:pPr>
    </w:p>
    <w:sectPr w:rsidR="000A3779" w:rsidRPr="000F7A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072" w:rsidRDefault="00924072" w:rsidP="00C83893">
      <w:pPr>
        <w:spacing w:after="0" w:line="240" w:lineRule="auto"/>
      </w:pPr>
      <w:r>
        <w:separator/>
      </w:r>
    </w:p>
  </w:endnote>
  <w:endnote w:type="continuationSeparator" w:id="0">
    <w:p w:rsidR="00924072" w:rsidRDefault="00924072" w:rsidP="00C8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34128"/>
      <w:docPartObj>
        <w:docPartGallery w:val="Page Numbers (Bottom of Page)"/>
        <w:docPartUnique/>
      </w:docPartObj>
    </w:sdtPr>
    <w:sdtContent>
      <w:p w:rsidR="000F7A81" w:rsidRDefault="000F7A81">
        <w:pPr>
          <w:pStyle w:val="Altbilgi"/>
          <w:jc w:val="right"/>
        </w:pPr>
        <w:r>
          <w:fldChar w:fldCharType="begin"/>
        </w:r>
        <w:r>
          <w:instrText>PAGE   \* MERGEFORMAT</w:instrText>
        </w:r>
        <w:r>
          <w:fldChar w:fldCharType="separate"/>
        </w:r>
        <w:r>
          <w:rPr>
            <w:noProof/>
          </w:rPr>
          <w:t>2</w:t>
        </w:r>
        <w:r>
          <w:fldChar w:fldCharType="end"/>
        </w:r>
      </w:p>
    </w:sdtContent>
  </w:sdt>
  <w:p w:rsidR="00C83893" w:rsidRDefault="00C838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072" w:rsidRDefault="00924072" w:rsidP="00C83893">
      <w:pPr>
        <w:spacing w:after="0" w:line="240" w:lineRule="auto"/>
      </w:pPr>
      <w:r>
        <w:separator/>
      </w:r>
    </w:p>
  </w:footnote>
  <w:footnote w:type="continuationSeparator" w:id="0">
    <w:p w:rsidR="00924072" w:rsidRDefault="00924072" w:rsidP="00C83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7332"/>
    <w:multiLevelType w:val="hybridMultilevel"/>
    <w:tmpl w:val="401255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E4B46DD"/>
    <w:multiLevelType w:val="hybridMultilevel"/>
    <w:tmpl w:val="0F84B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45623CD"/>
    <w:multiLevelType w:val="hybridMultilevel"/>
    <w:tmpl w:val="59A0A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4AA3445"/>
    <w:multiLevelType w:val="hybridMultilevel"/>
    <w:tmpl w:val="CBF02DCA"/>
    <w:lvl w:ilvl="0" w:tplc="E76CDA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A8825A6"/>
    <w:multiLevelType w:val="multilevel"/>
    <w:tmpl w:val="128A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D87810"/>
    <w:multiLevelType w:val="hybridMultilevel"/>
    <w:tmpl w:val="70DAE6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0D8"/>
    <w:rsid w:val="00006266"/>
    <w:rsid w:val="00026510"/>
    <w:rsid w:val="000A3779"/>
    <w:rsid w:val="000F7A81"/>
    <w:rsid w:val="00101109"/>
    <w:rsid w:val="00104CEA"/>
    <w:rsid w:val="001F21E1"/>
    <w:rsid w:val="002804A9"/>
    <w:rsid w:val="00292D24"/>
    <w:rsid w:val="002C5798"/>
    <w:rsid w:val="0047367C"/>
    <w:rsid w:val="005360B3"/>
    <w:rsid w:val="00564044"/>
    <w:rsid w:val="005A0D68"/>
    <w:rsid w:val="00604DAE"/>
    <w:rsid w:val="00662E91"/>
    <w:rsid w:val="006B66CB"/>
    <w:rsid w:val="00773C6E"/>
    <w:rsid w:val="008D50D8"/>
    <w:rsid w:val="00904638"/>
    <w:rsid w:val="00924072"/>
    <w:rsid w:val="00940DD3"/>
    <w:rsid w:val="00A215C9"/>
    <w:rsid w:val="00B24FD8"/>
    <w:rsid w:val="00BC037C"/>
    <w:rsid w:val="00C83893"/>
    <w:rsid w:val="00CB3C8E"/>
    <w:rsid w:val="00DB6D46"/>
    <w:rsid w:val="00E223F8"/>
    <w:rsid w:val="00E56B24"/>
    <w:rsid w:val="00FC1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2D24"/>
    <w:pPr>
      <w:ind w:left="720"/>
      <w:contextualSpacing/>
    </w:pPr>
  </w:style>
  <w:style w:type="table" w:styleId="TabloKlavuzu">
    <w:name w:val="Table Grid"/>
    <w:basedOn w:val="NormalTablo"/>
    <w:uiPriority w:val="59"/>
    <w:rsid w:val="00940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026510"/>
    <w:pPr>
      <w:widowControl w:val="0"/>
      <w:autoSpaceDE w:val="0"/>
      <w:autoSpaceDN w:val="0"/>
      <w:spacing w:after="0" w:line="240" w:lineRule="auto"/>
      <w:jc w:val="both"/>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026510"/>
    <w:rPr>
      <w:rFonts w:ascii="Times New Roman" w:eastAsia="Times New Roman" w:hAnsi="Times New Roman" w:cs="Times New Roman"/>
      <w:sz w:val="24"/>
      <w:szCs w:val="24"/>
      <w:lang w:eastAsia="tr-TR" w:bidi="tr-TR"/>
    </w:rPr>
  </w:style>
  <w:style w:type="paragraph" w:styleId="NormalWeb">
    <w:name w:val="Normal (Web)"/>
    <w:basedOn w:val="Normal"/>
    <w:uiPriority w:val="99"/>
    <w:unhideWhenUsed/>
    <w:rsid w:val="000A37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A3779"/>
    <w:rPr>
      <w:b/>
      <w:bCs/>
    </w:rPr>
  </w:style>
  <w:style w:type="paragraph" w:styleId="stbilgi">
    <w:name w:val="header"/>
    <w:basedOn w:val="Normal"/>
    <w:link w:val="stbilgiChar"/>
    <w:uiPriority w:val="99"/>
    <w:unhideWhenUsed/>
    <w:rsid w:val="00C838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3893"/>
  </w:style>
  <w:style w:type="paragraph" w:styleId="Altbilgi">
    <w:name w:val="footer"/>
    <w:basedOn w:val="Normal"/>
    <w:link w:val="AltbilgiChar"/>
    <w:uiPriority w:val="99"/>
    <w:unhideWhenUsed/>
    <w:rsid w:val="00C838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3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2D24"/>
    <w:pPr>
      <w:ind w:left="720"/>
      <w:contextualSpacing/>
    </w:pPr>
  </w:style>
  <w:style w:type="table" w:styleId="TabloKlavuzu">
    <w:name w:val="Table Grid"/>
    <w:basedOn w:val="NormalTablo"/>
    <w:uiPriority w:val="59"/>
    <w:rsid w:val="00940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026510"/>
    <w:pPr>
      <w:widowControl w:val="0"/>
      <w:autoSpaceDE w:val="0"/>
      <w:autoSpaceDN w:val="0"/>
      <w:spacing w:after="0" w:line="240" w:lineRule="auto"/>
      <w:jc w:val="both"/>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026510"/>
    <w:rPr>
      <w:rFonts w:ascii="Times New Roman" w:eastAsia="Times New Roman" w:hAnsi="Times New Roman" w:cs="Times New Roman"/>
      <w:sz w:val="24"/>
      <w:szCs w:val="24"/>
      <w:lang w:eastAsia="tr-TR" w:bidi="tr-TR"/>
    </w:rPr>
  </w:style>
  <w:style w:type="paragraph" w:styleId="NormalWeb">
    <w:name w:val="Normal (Web)"/>
    <w:basedOn w:val="Normal"/>
    <w:uiPriority w:val="99"/>
    <w:unhideWhenUsed/>
    <w:rsid w:val="000A37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A3779"/>
    <w:rPr>
      <w:b/>
      <w:bCs/>
    </w:rPr>
  </w:style>
  <w:style w:type="paragraph" w:styleId="stbilgi">
    <w:name w:val="header"/>
    <w:basedOn w:val="Normal"/>
    <w:link w:val="stbilgiChar"/>
    <w:uiPriority w:val="99"/>
    <w:unhideWhenUsed/>
    <w:rsid w:val="00C838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3893"/>
  </w:style>
  <w:style w:type="paragraph" w:styleId="Altbilgi">
    <w:name w:val="footer"/>
    <w:basedOn w:val="Normal"/>
    <w:link w:val="AltbilgiChar"/>
    <w:uiPriority w:val="99"/>
    <w:unhideWhenUsed/>
    <w:rsid w:val="00C838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84665">
      <w:bodyDiv w:val="1"/>
      <w:marLeft w:val="0"/>
      <w:marRight w:val="0"/>
      <w:marTop w:val="0"/>
      <w:marBottom w:val="0"/>
      <w:divBdr>
        <w:top w:val="none" w:sz="0" w:space="0" w:color="auto"/>
        <w:left w:val="none" w:sz="0" w:space="0" w:color="auto"/>
        <w:bottom w:val="none" w:sz="0" w:space="0" w:color="auto"/>
        <w:right w:val="none" w:sz="0" w:space="0" w:color="auto"/>
      </w:divBdr>
    </w:div>
    <w:div w:id="625044831">
      <w:bodyDiv w:val="1"/>
      <w:marLeft w:val="0"/>
      <w:marRight w:val="0"/>
      <w:marTop w:val="0"/>
      <w:marBottom w:val="0"/>
      <w:divBdr>
        <w:top w:val="none" w:sz="0" w:space="0" w:color="auto"/>
        <w:left w:val="none" w:sz="0" w:space="0" w:color="auto"/>
        <w:bottom w:val="none" w:sz="0" w:space="0" w:color="auto"/>
        <w:right w:val="none" w:sz="0" w:space="0" w:color="auto"/>
      </w:divBdr>
    </w:div>
    <w:div w:id="1774394578">
      <w:bodyDiv w:val="1"/>
      <w:marLeft w:val="0"/>
      <w:marRight w:val="0"/>
      <w:marTop w:val="0"/>
      <w:marBottom w:val="0"/>
      <w:divBdr>
        <w:top w:val="none" w:sz="0" w:space="0" w:color="auto"/>
        <w:left w:val="none" w:sz="0" w:space="0" w:color="auto"/>
        <w:bottom w:val="none" w:sz="0" w:space="0" w:color="auto"/>
        <w:right w:val="none" w:sz="0" w:space="0" w:color="auto"/>
      </w:divBdr>
    </w:div>
    <w:div w:id="179386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21DCD-06C5-48FF-977C-C08FDF5F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HUMAY</dc:creator>
  <cp:lastModifiedBy>İsmail BİCİK</cp:lastModifiedBy>
  <cp:revision>2</cp:revision>
  <dcterms:created xsi:type="dcterms:W3CDTF">2020-10-23T05:42:00Z</dcterms:created>
  <dcterms:modified xsi:type="dcterms:W3CDTF">2020-10-23T05:42:00Z</dcterms:modified>
</cp:coreProperties>
</file>